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5B3114F9" w:rsidR="003C0BD9" w:rsidRPr="00E44971" w:rsidRDefault="00CE2790" w:rsidP="00F03331">
      <w:pPr>
        <w:jc w:val="center"/>
        <w:rPr>
          <w:b/>
          <w:szCs w:val="20"/>
        </w:rPr>
      </w:pPr>
      <w:r>
        <w:rPr>
          <w:b/>
          <w:szCs w:val="20"/>
        </w:rPr>
        <w:t>Ju</w:t>
      </w:r>
      <w:r w:rsidR="00344574">
        <w:rPr>
          <w:b/>
          <w:szCs w:val="20"/>
        </w:rPr>
        <w:t>ly</w:t>
      </w:r>
      <w:r>
        <w:rPr>
          <w:b/>
          <w:szCs w:val="20"/>
        </w:rPr>
        <w:t xml:space="preserve"> </w:t>
      </w:r>
      <w:r w:rsidR="00ED2687">
        <w:rPr>
          <w:b/>
          <w:szCs w:val="20"/>
        </w:rPr>
        <w:t>2017</w:t>
      </w:r>
    </w:p>
    <w:p w14:paraId="5CB725C4" w14:textId="7930A9F7" w:rsidR="00344574" w:rsidRDefault="00344574" w:rsidP="00CE2790">
      <w:pPr>
        <w:rPr>
          <w:b/>
          <w:szCs w:val="20"/>
        </w:rPr>
      </w:pPr>
      <w:r>
        <w:rPr>
          <w:b/>
          <w:szCs w:val="20"/>
        </w:rPr>
        <w:t>T</w:t>
      </w:r>
      <w:r w:rsidRPr="00344574">
        <w:rPr>
          <w:b/>
          <w:szCs w:val="20"/>
        </w:rPr>
        <w:t>he 2017 Wage &amp; Compensation Survey Is Now Available</w:t>
      </w:r>
    </w:p>
    <w:p w14:paraId="678E08A2" w14:textId="77777777" w:rsidR="00344574" w:rsidRPr="00344574" w:rsidRDefault="00344574" w:rsidP="00344574">
      <w:pPr>
        <w:rPr>
          <w:szCs w:val="20"/>
        </w:rPr>
      </w:pPr>
      <w:bookmarkStart w:id="0" w:name="_GoBack"/>
      <w:bookmarkEnd w:id="0"/>
      <w:r w:rsidRPr="00344574">
        <w:rPr>
          <w:szCs w:val="20"/>
        </w:rPr>
        <w:t>Archbright is proud to produce one of the largest and most comprehensive wage and compensation surveys in our region. Our survey jobs are structured to reflect job families and career leveling with a unique job coding system that facilitates market pay analysis, strategy, and program development.</w:t>
      </w:r>
    </w:p>
    <w:p w14:paraId="4EEE1787" w14:textId="77777777" w:rsidR="00344574" w:rsidRPr="00344574" w:rsidRDefault="00344574" w:rsidP="00344574">
      <w:pPr>
        <w:rPr>
          <w:szCs w:val="20"/>
        </w:rPr>
      </w:pPr>
      <w:r w:rsidRPr="00344574">
        <w:rPr>
          <w:szCs w:val="20"/>
        </w:rPr>
        <w:t>This year there are two options to choose from:</w:t>
      </w:r>
    </w:p>
    <w:p w14:paraId="46A8F333" w14:textId="1BA7CDFE" w:rsidR="00344574" w:rsidRPr="00344574" w:rsidRDefault="00344574" w:rsidP="00344574">
      <w:pPr>
        <w:pStyle w:val="ListParagraph"/>
        <w:numPr>
          <w:ilvl w:val="0"/>
          <w:numId w:val="16"/>
        </w:numPr>
        <w:rPr>
          <w:szCs w:val="20"/>
        </w:rPr>
      </w:pPr>
      <w:r w:rsidRPr="00344574">
        <w:rPr>
          <w:szCs w:val="20"/>
        </w:rPr>
        <w:t>The 2017 Wage &amp; Compensation Survey Report is a comprehensive benchmark set of over 600 jobs covering the full spectrum of organizational functions and industries for 43,842 employees in</w:t>
      </w:r>
      <w:r>
        <w:rPr>
          <w:szCs w:val="20"/>
        </w:rPr>
        <w:t xml:space="preserve"> </w:t>
      </w:r>
      <w:r w:rsidRPr="00344574">
        <w:rPr>
          <w:szCs w:val="20"/>
        </w:rPr>
        <w:t>485 organizations. After purchasing this report, you will also receive special reports for non-profit and for-profit data.</w:t>
      </w:r>
    </w:p>
    <w:p w14:paraId="5A86B734" w14:textId="4CD76E13" w:rsidR="00344574" w:rsidRPr="00344574" w:rsidRDefault="00344574" w:rsidP="00344574">
      <w:pPr>
        <w:pStyle w:val="ListParagraph"/>
        <w:numPr>
          <w:ilvl w:val="0"/>
          <w:numId w:val="16"/>
        </w:numPr>
        <w:rPr>
          <w:szCs w:val="20"/>
        </w:rPr>
      </w:pPr>
      <w:r w:rsidRPr="00344574">
        <w:rPr>
          <w:szCs w:val="20"/>
        </w:rPr>
        <w:t>The 2017 Non-Profit Special Report represents a subset of data limited to wage and compensation information from 194 self-identified non-profit participants. This can be purchased separately from the full report.</w:t>
      </w:r>
    </w:p>
    <w:p w14:paraId="7D2F3142" w14:textId="77777777" w:rsidR="00344574" w:rsidRPr="00344574" w:rsidRDefault="00344574" w:rsidP="00344574">
      <w:pPr>
        <w:rPr>
          <w:szCs w:val="20"/>
        </w:rPr>
      </w:pPr>
      <w:r w:rsidRPr="00344574">
        <w:rPr>
          <w:szCs w:val="20"/>
        </w:rPr>
        <w:t>Compensation elements covered include base salary, bonus, and commission eligibility and paid and total cash compensation. Data is also collected on salary budgets, turnover, and short-term incentive plan practices including bonus and commission payments.</w:t>
      </w:r>
    </w:p>
    <w:p w14:paraId="1681BC59" w14:textId="77777777" w:rsidR="00344574" w:rsidRPr="00344574" w:rsidRDefault="00344574" w:rsidP="00344574">
      <w:pPr>
        <w:rPr>
          <w:szCs w:val="20"/>
        </w:rPr>
      </w:pPr>
      <w:r w:rsidRPr="00344574">
        <w:rPr>
          <w:szCs w:val="20"/>
        </w:rPr>
        <w:t>Members who participated in the survey receive the report for free. Members who did not participate in the survey receive a discount on the survey based on their membership level.</w:t>
      </w:r>
    </w:p>
    <w:p w14:paraId="0A23501E" w14:textId="77777777" w:rsidR="00344574" w:rsidRPr="00344574" w:rsidRDefault="00344574" w:rsidP="00344574">
      <w:pPr>
        <w:rPr>
          <w:szCs w:val="20"/>
        </w:rPr>
      </w:pPr>
      <w:r w:rsidRPr="00344574">
        <w:rPr>
          <w:szCs w:val="20"/>
        </w:rPr>
        <w:t>To purchase this year’s report, visit the Surveys page at Archbright.com.</w:t>
      </w:r>
    </w:p>
    <w:p w14:paraId="07C541B4" w14:textId="77777777" w:rsidR="00344574" w:rsidRPr="00344574" w:rsidRDefault="00344574" w:rsidP="00344574">
      <w:pPr>
        <w:rPr>
          <w:szCs w:val="20"/>
        </w:rPr>
      </w:pPr>
      <w:r w:rsidRPr="00344574">
        <w:rPr>
          <w:szCs w:val="20"/>
        </w:rPr>
        <w:t>Questions about how the data was obtained and the results were compiled? Please contact our Survey Team at regionalsurveys@archbright.com.</w:t>
      </w:r>
    </w:p>
    <w:p w14:paraId="0DA5BEA7" w14:textId="35764FB6" w:rsidR="00CE2790" w:rsidRPr="00CE2790" w:rsidRDefault="00344574" w:rsidP="00344574">
      <w:pPr>
        <w:rPr>
          <w:szCs w:val="20"/>
        </w:rPr>
      </w:pPr>
      <w:r w:rsidRPr="00344574">
        <w:rPr>
          <w:szCs w:val="20"/>
        </w:rPr>
        <w:t>Questions about how to purchase the survey? Please contact member services at info@archbright.com.</w:t>
      </w:r>
    </w:p>
    <w:p w14:paraId="318390F4" w14:textId="77777777" w:rsidR="009047B8" w:rsidRPr="009047B8" w:rsidRDefault="009047B8" w:rsidP="009047B8">
      <w:pPr>
        <w:rPr>
          <w:b/>
          <w:szCs w:val="20"/>
        </w:rPr>
      </w:pPr>
      <w:r w:rsidRPr="009047B8">
        <w:rPr>
          <w:b/>
          <w:szCs w:val="20"/>
        </w:rPr>
        <w:t>CEO Corner, by Shannon Kavanaugh</w:t>
      </w:r>
    </w:p>
    <w:p w14:paraId="79439E72" w14:textId="77777777" w:rsidR="00344574" w:rsidRPr="00344574" w:rsidRDefault="00344574" w:rsidP="00344574">
      <w:pPr>
        <w:rPr>
          <w:szCs w:val="20"/>
        </w:rPr>
      </w:pPr>
      <w:r w:rsidRPr="00344574">
        <w:rPr>
          <w:szCs w:val="20"/>
        </w:rPr>
        <w:t>A workspace that inspires collaboration, well-being, and flexibility</w:t>
      </w:r>
    </w:p>
    <w:p w14:paraId="32227B18" w14:textId="77777777" w:rsidR="00344574" w:rsidRPr="00344574" w:rsidRDefault="00344574" w:rsidP="00344574">
      <w:pPr>
        <w:rPr>
          <w:szCs w:val="20"/>
        </w:rPr>
      </w:pPr>
      <w:r w:rsidRPr="00344574">
        <w:rPr>
          <w:szCs w:val="20"/>
        </w:rPr>
        <w:t>Archbright has moved!</w:t>
      </w:r>
    </w:p>
    <w:p w14:paraId="6FD90EF9" w14:textId="77777777" w:rsidR="00344574" w:rsidRPr="00344574" w:rsidRDefault="00344574" w:rsidP="00344574">
      <w:pPr>
        <w:rPr>
          <w:szCs w:val="20"/>
        </w:rPr>
      </w:pPr>
      <w:r w:rsidRPr="00344574">
        <w:rPr>
          <w:szCs w:val="20"/>
        </w:rPr>
        <w:t>As many of you know by now, Archbright recently consolidated its Western Washington offices in Kent and Seattle into one office in Seattle’s oldest neighborhood…Georgetown!</w:t>
      </w:r>
    </w:p>
    <w:p w14:paraId="75205CB1" w14:textId="77777777" w:rsidR="00344574" w:rsidRPr="00344574" w:rsidRDefault="00344574" w:rsidP="00344574">
      <w:pPr>
        <w:rPr>
          <w:szCs w:val="20"/>
        </w:rPr>
      </w:pPr>
      <w:r w:rsidRPr="00344574">
        <w:rPr>
          <w:szCs w:val="20"/>
        </w:rPr>
        <w:t>Our new address is:</w:t>
      </w:r>
    </w:p>
    <w:p w14:paraId="7590E46A" w14:textId="77777777" w:rsidR="00344574" w:rsidRPr="00344574" w:rsidRDefault="00344574" w:rsidP="00344574">
      <w:pPr>
        <w:rPr>
          <w:szCs w:val="20"/>
        </w:rPr>
      </w:pPr>
      <w:r w:rsidRPr="00344574">
        <w:rPr>
          <w:szCs w:val="20"/>
        </w:rPr>
        <w:t>5601 6th Avenue South, Ste 400</w:t>
      </w:r>
    </w:p>
    <w:p w14:paraId="5297A8EC" w14:textId="77777777" w:rsidR="00344574" w:rsidRPr="00344574" w:rsidRDefault="00344574" w:rsidP="00344574">
      <w:pPr>
        <w:rPr>
          <w:szCs w:val="20"/>
        </w:rPr>
      </w:pPr>
      <w:r w:rsidRPr="00344574">
        <w:rPr>
          <w:szCs w:val="20"/>
        </w:rPr>
        <w:t>Seattle, WA 98108</w:t>
      </w:r>
    </w:p>
    <w:p w14:paraId="1F384DAA" w14:textId="77777777" w:rsidR="00344574" w:rsidRPr="00344574" w:rsidRDefault="00344574" w:rsidP="00344574">
      <w:pPr>
        <w:rPr>
          <w:szCs w:val="20"/>
        </w:rPr>
      </w:pPr>
      <w:r w:rsidRPr="00344574">
        <w:rPr>
          <w:szCs w:val="20"/>
        </w:rPr>
        <w:lastRenderedPageBreak/>
        <w:t>We look forward to seeing you in our new space soon. Speaking of which, let me tell you a little about it.</w:t>
      </w:r>
    </w:p>
    <w:p w14:paraId="4E0823C3" w14:textId="77777777" w:rsidR="00344574" w:rsidRPr="00344574" w:rsidRDefault="00344574" w:rsidP="00344574">
      <w:pPr>
        <w:rPr>
          <w:szCs w:val="20"/>
        </w:rPr>
      </w:pPr>
      <w:r w:rsidRPr="00344574">
        <w:rPr>
          <w:szCs w:val="20"/>
        </w:rPr>
        <w:t>Archbright had three main goals with the design of its new space—collaboration, well-being, and flexibility. We landed on a strategy of Activity-Based Workspace (ABW). It’s a little different than Open Office Design, where you minimize private offices and eliminate walls</w:t>
      </w:r>
    </w:p>
    <w:p w14:paraId="2950C1BD" w14:textId="77777777" w:rsidR="00344574" w:rsidRPr="00344574" w:rsidRDefault="00344574" w:rsidP="00344574">
      <w:pPr>
        <w:rPr>
          <w:szCs w:val="20"/>
        </w:rPr>
      </w:pPr>
      <w:r w:rsidRPr="00344574">
        <w:rPr>
          <w:szCs w:val="20"/>
        </w:rPr>
        <w:t>and doors. Open Office Design, made famous by Facebook and Google, aims to promote collaboration and creative innovation among employees by breaking down the physical barriers in the walled or cubed office. For the most part, they do. But they can also hinder productivity because of noise and distractions and lack of privacy.</w:t>
      </w:r>
    </w:p>
    <w:p w14:paraId="1A253798" w14:textId="77777777" w:rsidR="00344574" w:rsidRPr="00344574" w:rsidRDefault="00344574" w:rsidP="00344574">
      <w:pPr>
        <w:rPr>
          <w:szCs w:val="20"/>
        </w:rPr>
      </w:pPr>
      <w:r w:rsidRPr="00344574">
        <w:rPr>
          <w:szCs w:val="20"/>
        </w:rPr>
        <w:t>That’s where ABW comes in.</w:t>
      </w:r>
    </w:p>
    <w:p w14:paraId="20D28415" w14:textId="77777777" w:rsidR="00344574" w:rsidRPr="00344574" w:rsidRDefault="00344574" w:rsidP="00344574">
      <w:pPr>
        <w:rPr>
          <w:szCs w:val="20"/>
        </w:rPr>
      </w:pPr>
      <w:r w:rsidRPr="00344574">
        <w:rPr>
          <w:szCs w:val="20"/>
        </w:rPr>
        <w:t xml:space="preserve">Activity-Based Workspace gives you the best of both worlds. In an ABW office, you have a range of spaces— from private spaces, to collaborative spaces, to open spaces, to </w:t>
      </w:r>
      <w:proofErr w:type="gramStart"/>
      <w:r w:rsidRPr="00344574">
        <w:rPr>
          <w:szCs w:val="20"/>
        </w:rPr>
        <w:t>all of</w:t>
      </w:r>
      <w:proofErr w:type="gramEnd"/>
      <w:r w:rsidRPr="00344574">
        <w:rPr>
          <w:szCs w:val="20"/>
        </w:rPr>
        <w:t xml:space="preserve"> the above! It’s an ecosystem that allows employees and teams to work in the space that best matches their tasks at any given moment. Plus, as </w:t>
      </w:r>
      <w:proofErr w:type="gramStart"/>
      <w:r w:rsidRPr="00344574">
        <w:rPr>
          <w:szCs w:val="20"/>
        </w:rPr>
        <w:t>an added bonus</w:t>
      </w:r>
      <w:proofErr w:type="gramEnd"/>
      <w:r w:rsidRPr="00344574">
        <w:rPr>
          <w:szCs w:val="20"/>
        </w:rPr>
        <w:t>, you inspire teams to move more in a space that has them walking through it during their day, rather than staying in one space and at one desk.</w:t>
      </w:r>
    </w:p>
    <w:p w14:paraId="4721E681" w14:textId="77777777" w:rsidR="00344574" w:rsidRPr="00344574" w:rsidRDefault="00344574" w:rsidP="00344574">
      <w:pPr>
        <w:rPr>
          <w:szCs w:val="20"/>
        </w:rPr>
      </w:pPr>
      <w:r w:rsidRPr="00344574">
        <w:rPr>
          <w:szCs w:val="20"/>
        </w:rPr>
        <w:t>Archbright’s workspace design allows for collaboration, well-being, and flexibility for our employees, which in the end helps us meet the needs of our members even more!</w:t>
      </w:r>
    </w:p>
    <w:p w14:paraId="78217B14" w14:textId="4C4FD0D4" w:rsidR="00DA6A32" w:rsidRDefault="00344574" w:rsidP="00344574">
      <w:pPr>
        <w:rPr>
          <w:szCs w:val="20"/>
        </w:rPr>
      </w:pPr>
      <w:r w:rsidRPr="00344574">
        <w:rPr>
          <w:szCs w:val="20"/>
        </w:rPr>
        <w:t>We look forward to seeing you at our Open House on September 12, 2017!</w:t>
      </w:r>
    </w:p>
    <w:p w14:paraId="2D0B4449" w14:textId="77777777" w:rsidR="00344574" w:rsidRDefault="00344574" w:rsidP="00344574">
      <w:pPr>
        <w:rPr>
          <w:szCs w:val="20"/>
        </w:rPr>
      </w:pPr>
    </w:p>
    <w:p w14:paraId="4F5619E5" w14:textId="77777777" w:rsidR="00344574" w:rsidRPr="00344574" w:rsidRDefault="00344574" w:rsidP="00344574">
      <w:pPr>
        <w:rPr>
          <w:b/>
          <w:szCs w:val="20"/>
        </w:rPr>
      </w:pPr>
      <w:r w:rsidRPr="00344574">
        <w:rPr>
          <w:b/>
          <w:szCs w:val="20"/>
        </w:rPr>
        <w:t>Archbright Named One of Washington State’s Best Places to Work</w:t>
      </w:r>
    </w:p>
    <w:p w14:paraId="352C4F8B" w14:textId="77777777" w:rsidR="00344574" w:rsidRPr="00344574" w:rsidRDefault="00344574" w:rsidP="00344574">
      <w:pPr>
        <w:rPr>
          <w:szCs w:val="20"/>
        </w:rPr>
      </w:pPr>
      <w:r w:rsidRPr="00344574">
        <w:rPr>
          <w:szCs w:val="20"/>
        </w:rPr>
        <w:t>Archbright is pleased to announce we have been named by the Puget Sound Business Journal as one of Washington State’s Best Places to Work!</w:t>
      </w:r>
    </w:p>
    <w:p w14:paraId="7FF449CE" w14:textId="77777777" w:rsidR="00344574" w:rsidRPr="00344574" w:rsidRDefault="00344574" w:rsidP="00344574">
      <w:pPr>
        <w:rPr>
          <w:szCs w:val="20"/>
        </w:rPr>
      </w:pPr>
      <w:r w:rsidRPr="00344574">
        <w:rPr>
          <w:szCs w:val="20"/>
        </w:rPr>
        <w:t>This spring, thousands of employees from companies around the region completed an employee engagement survey through a special partnership between the Journal and Quantum Workplace. The survey asked questions about company culture and employee work experience.</w:t>
      </w:r>
    </w:p>
    <w:p w14:paraId="59C05A85" w14:textId="77777777" w:rsidR="00344574" w:rsidRPr="00344574" w:rsidRDefault="00344574" w:rsidP="00344574">
      <w:pPr>
        <w:rPr>
          <w:szCs w:val="20"/>
        </w:rPr>
      </w:pPr>
      <w:r w:rsidRPr="00344574">
        <w:rPr>
          <w:szCs w:val="20"/>
        </w:rPr>
        <w:t>Washington’s Best Workplaces then recognized the 80 highest ranked companies. We are thrilled to have placed on the list of finalists in our category of 50 to 99 employees.</w:t>
      </w:r>
    </w:p>
    <w:p w14:paraId="435D95BB" w14:textId="77777777" w:rsidR="00344574" w:rsidRPr="00344574" w:rsidRDefault="00344574" w:rsidP="00344574">
      <w:pPr>
        <w:rPr>
          <w:szCs w:val="20"/>
        </w:rPr>
      </w:pPr>
      <w:r w:rsidRPr="00344574">
        <w:rPr>
          <w:szCs w:val="20"/>
        </w:rPr>
        <w:t>Archbright will find out where we stand when the final ranking is revealed at Washington’s Best Workplaces event at Safeco Field on August 3. The results will then be published in the Journal’s August 4 issue. Make sure to check out the final list!</w:t>
      </w:r>
    </w:p>
    <w:p w14:paraId="7845F29C" w14:textId="77777777" w:rsidR="00344574" w:rsidRPr="00344574" w:rsidRDefault="00344574" w:rsidP="00344574">
      <w:pPr>
        <w:rPr>
          <w:b/>
          <w:szCs w:val="20"/>
        </w:rPr>
      </w:pPr>
      <w:r w:rsidRPr="00344574">
        <w:rPr>
          <w:b/>
          <w:szCs w:val="20"/>
        </w:rPr>
        <w:t>Save the Date: Archbright Open House [9.12.17]</w:t>
      </w:r>
    </w:p>
    <w:p w14:paraId="2E79360C" w14:textId="77777777" w:rsidR="00344574" w:rsidRPr="00344574" w:rsidRDefault="00344574" w:rsidP="00344574">
      <w:pPr>
        <w:rPr>
          <w:szCs w:val="20"/>
        </w:rPr>
      </w:pPr>
      <w:r w:rsidRPr="00344574">
        <w:rPr>
          <w:szCs w:val="20"/>
        </w:rPr>
        <w:t>You are invited to come and experience our new space in Georgetown—28,960 square feet of modern, open work area—on Tuesday, September 12, 3 to 5pm.</w:t>
      </w:r>
    </w:p>
    <w:p w14:paraId="7B1B2912" w14:textId="77777777" w:rsidR="00344574" w:rsidRPr="00344574" w:rsidRDefault="00344574" w:rsidP="00344574">
      <w:pPr>
        <w:rPr>
          <w:szCs w:val="20"/>
        </w:rPr>
      </w:pPr>
      <w:r w:rsidRPr="00344574">
        <w:rPr>
          <w:szCs w:val="20"/>
        </w:rPr>
        <w:lastRenderedPageBreak/>
        <w:t>Join us for our open house event: Archbright’s Northwest Tour – A Taste of Washington, Oregon, and Idaho.</w:t>
      </w:r>
    </w:p>
    <w:p w14:paraId="11120380" w14:textId="672FFEF5" w:rsidR="00344574" w:rsidRPr="00344574" w:rsidRDefault="00344574" w:rsidP="00344574">
      <w:pPr>
        <w:rPr>
          <w:szCs w:val="20"/>
        </w:rPr>
      </w:pPr>
      <w:r w:rsidRPr="00344574">
        <w:rPr>
          <w:szCs w:val="20"/>
        </w:rPr>
        <w:t>With an Archbright passport in hand, explore our new offices and along the way discover the region’s excellent wine, beer, and flavors. We will feature food and beverages from a selection of our member companies. More details</w:t>
      </w:r>
      <w:r>
        <w:rPr>
          <w:szCs w:val="20"/>
        </w:rPr>
        <w:t xml:space="preserve"> t</w:t>
      </w:r>
      <w:r w:rsidRPr="00344574">
        <w:rPr>
          <w:szCs w:val="20"/>
        </w:rPr>
        <w:t>o</w:t>
      </w:r>
      <w:r>
        <w:rPr>
          <w:szCs w:val="20"/>
        </w:rPr>
        <w:t xml:space="preserve"> </w:t>
      </w:r>
      <w:r w:rsidRPr="00344574">
        <w:rPr>
          <w:szCs w:val="20"/>
        </w:rPr>
        <w:t>come!</w:t>
      </w:r>
    </w:p>
    <w:p w14:paraId="7B1CFF31" w14:textId="77777777" w:rsidR="00344574" w:rsidRPr="00344574" w:rsidRDefault="00344574" w:rsidP="00344574">
      <w:pPr>
        <w:rPr>
          <w:szCs w:val="20"/>
        </w:rPr>
      </w:pPr>
      <w:r w:rsidRPr="00344574">
        <w:rPr>
          <w:szCs w:val="20"/>
        </w:rPr>
        <w:t>When: September 12 | 3:00 to 5:00 pm</w:t>
      </w:r>
    </w:p>
    <w:p w14:paraId="2276F5C3" w14:textId="77777777" w:rsidR="00344574" w:rsidRPr="00344574" w:rsidRDefault="00344574" w:rsidP="00344574">
      <w:pPr>
        <w:rPr>
          <w:szCs w:val="20"/>
        </w:rPr>
      </w:pPr>
      <w:r w:rsidRPr="00344574">
        <w:rPr>
          <w:szCs w:val="20"/>
        </w:rPr>
        <w:t>Where: Archbright’s New Offices in Georgetown</w:t>
      </w:r>
    </w:p>
    <w:p w14:paraId="48BEF02A" w14:textId="77777777" w:rsidR="00344574" w:rsidRPr="00344574" w:rsidRDefault="00344574" w:rsidP="00344574">
      <w:pPr>
        <w:rPr>
          <w:szCs w:val="20"/>
        </w:rPr>
      </w:pPr>
      <w:r w:rsidRPr="00344574">
        <w:rPr>
          <w:szCs w:val="20"/>
        </w:rPr>
        <w:t>Cost: FREE | NW Appetizers, Beer, &amp; Wine</w:t>
      </w:r>
    </w:p>
    <w:p w14:paraId="04E07F9F" w14:textId="6010492E" w:rsidR="00CE2790" w:rsidRPr="00DA6A32" w:rsidRDefault="00344574" w:rsidP="00344574">
      <w:pPr>
        <w:rPr>
          <w:szCs w:val="20"/>
        </w:rPr>
      </w:pPr>
      <w:r w:rsidRPr="00344574">
        <w:rPr>
          <w:szCs w:val="20"/>
        </w:rPr>
        <w:t>Registration is now open at Archbright.com!</w:t>
      </w:r>
    </w:p>
    <w:p w14:paraId="512B6FD7" w14:textId="77777777" w:rsidR="009047B8" w:rsidRDefault="009047B8" w:rsidP="009047B8">
      <w:pPr>
        <w:rPr>
          <w:szCs w:val="20"/>
        </w:rPr>
      </w:pPr>
    </w:p>
    <w:p w14:paraId="2AC9BE26" w14:textId="77777777" w:rsidR="009047B8" w:rsidRPr="009047B8" w:rsidRDefault="009047B8" w:rsidP="009047B8">
      <w:pPr>
        <w:rPr>
          <w:szCs w:val="20"/>
        </w:rPr>
        <w:sectPr w:rsidR="009047B8" w:rsidRPr="009047B8" w:rsidSect="005F328F">
          <w:footerReference w:type="default" r:id="rId11"/>
          <w:type w:val="continuous"/>
          <w:pgSz w:w="12240" w:h="15840" w:code="1"/>
          <w:pgMar w:top="1440" w:right="1440" w:bottom="1296" w:left="1440" w:header="720" w:footer="288" w:gutter="0"/>
          <w:cols w:space="720"/>
          <w:docGrid w:linePitch="360"/>
        </w:sectPr>
      </w:pPr>
    </w:p>
    <w:p w14:paraId="72A6046F" w14:textId="77777777" w:rsidR="00344574" w:rsidRPr="00344574" w:rsidRDefault="00344574" w:rsidP="00344574">
      <w:pPr>
        <w:rPr>
          <w:b/>
          <w:szCs w:val="20"/>
        </w:rPr>
      </w:pPr>
      <w:r w:rsidRPr="00344574">
        <w:rPr>
          <w:b/>
          <w:szCs w:val="20"/>
        </w:rPr>
        <w:lastRenderedPageBreak/>
        <w:t>Crucial Accountability®</w:t>
      </w:r>
    </w:p>
    <w:p w14:paraId="66051D6B" w14:textId="77777777" w:rsidR="00344574" w:rsidRPr="00344574" w:rsidRDefault="00344574" w:rsidP="00344574">
      <w:pPr>
        <w:rPr>
          <w:szCs w:val="20"/>
        </w:rPr>
      </w:pPr>
      <w:r w:rsidRPr="00344574">
        <w:rPr>
          <w:szCs w:val="20"/>
        </w:rPr>
        <w:t>Now available as a public class in Georgetown!</w:t>
      </w:r>
    </w:p>
    <w:p w14:paraId="6D467EE4" w14:textId="77777777" w:rsidR="00344574" w:rsidRPr="00344574" w:rsidRDefault="00344574" w:rsidP="00344574">
      <w:pPr>
        <w:rPr>
          <w:szCs w:val="20"/>
        </w:rPr>
      </w:pPr>
      <w:r w:rsidRPr="00344574">
        <w:rPr>
          <w:szCs w:val="20"/>
        </w:rPr>
        <w:t>Research shows when people see accountability as “someone else’s job” they waste time, resources, and morale—specifically, employees waste $1,500 and an eight-hour workday for every accountability discussion they avoid. These costs skyrocket when you consider that 95 percent of a company’s workforce struggles to hold their colleagues accountable.</w:t>
      </w:r>
    </w:p>
    <w:p w14:paraId="50D860EE" w14:textId="346EFBA8" w:rsidR="00344574" w:rsidRPr="00344574" w:rsidRDefault="00344574" w:rsidP="00344574">
      <w:pPr>
        <w:rPr>
          <w:szCs w:val="20"/>
        </w:rPr>
      </w:pPr>
      <w:r w:rsidRPr="00344574">
        <w:rPr>
          <w:szCs w:val="20"/>
        </w:rPr>
        <w:t>This course teaches a straightforward, step-by- step process for identifying and resolving performance gaps, strengthening accountability, eliminat</w:t>
      </w:r>
      <w:r>
        <w:rPr>
          <w:szCs w:val="20"/>
        </w:rPr>
        <w:t xml:space="preserve">ing inconsistency, and reducing </w:t>
      </w:r>
      <w:r w:rsidRPr="00344574">
        <w:rPr>
          <w:szCs w:val="20"/>
        </w:rPr>
        <w:t>resentment. It uses video, group discussions, skill practice, and real-life application to make the course both entertaining and engaging.</w:t>
      </w:r>
    </w:p>
    <w:p w14:paraId="180B79CF" w14:textId="77777777" w:rsidR="00344574" w:rsidRPr="00344574" w:rsidRDefault="00344574" w:rsidP="00344574">
      <w:pPr>
        <w:rPr>
          <w:szCs w:val="20"/>
        </w:rPr>
      </w:pPr>
      <w:r w:rsidRPr="00344574">
        <w:rPr>
          <w:szCs w:val="20"/>
        </w:rPr>
        <w:t>Crucial Accountability teaches participants to:</w:t>
      </w:r>
    </w:p>
    <w:p w14:paraId="0B4CAA88" w14:textId="4712A2CB" w:rsidR="00344574" w:rsidRPr="00344574" w:rsidRDefault="00344574" w:rsidP="00344574">
      <w:pPr>
        <w:pStyle w:val="ListParagraph"/>
        <w:numPr>
          <w:ilvl w:val="0"/>
          <w:numId w:val="16"/>
        </w:numPr>
        <w:rPr>
          <w:szCs w:val="20"/>
        </w:rPr>
      </w:pPr>
      <w:r w:rsidRPr="00344574">
        <w:rPr>
          <w:szCs w:val="20"/>
        </w:rPr>
        <w:t>Hold anyone accountable while building the</w:t>
      </w:r>
      <w:r>
        <w:rPr>
          <w:szCs w:val="20"/>
        </w:rPr>
        <w:t xml:space="preserve"> </w:t>
      </w:r>
      <w:r w:rsidRPr="00344574">
        <w:rPr>
          <w:szCs w:val="20"/>
        </w:rPr>
        <w:t>relationship</w:t>
      </w:r>
    </w:p>
    <w:p w14:paraId="1736DCF4" w14:textId="376BFE68" w:rsidR="00344574" w:rsidRPr="00344574" w:rsidRDefault="00344574" w:rsidP="00344574">
      <w:pPr>
        <w:pStyle w:val="ListParagraph"/>
        <w:numPr>
          <w:ilvl w:val="0"/>
          <w:numId w:val="16"/>
        </w:numPr>
        <w:rPr>
          <w:szCs w:val="20"/>
        </w:rPr>
      </w:pPr>
      <w:r w:rsidRPr="00344574">
        <w:rPr>
          <w:szCs w:val="20"/>
        </w:rPr>
        <w:t>Master performance discussions</w:t>
      </w:r>
    </w:p>
    <w:p w14:paraId="2EC7434D" w14:textId="569B499E" w:rsidR="00344574" w:rsidRPr="00344574" w:rsidRDefault="00344574" w:rsidP="00344574">
      <w:pPr>
        <w:pStyle w:val="ListParagraph"/>
        <w:numPr>
          <w:ilvl w:val="0"/>
          <w:numId w:val="16"/>
        </w:numPr>
        <w:rPr>
          <w:szCs w:val="20"/>
        </w:rPr>
      </w:pPr>
      <w:r w:rsidRPr="00344574">
        <w:rPr>
          <w:szCs w:val="20"/>
        </w:rPr>
        <w:t>Motivate others without using power</w:t>
      </w:r>
    </w:p>
    <w:p w14:paraId="47DB8427" w14:textId="43272EE7" w:rsidR="00344574" w:rsidRPr="00344574" w:rsidRDefault="00344574" w:rsidP="00344574">
      <w:pPr>
        <w:pStyle w:val="ListParagraph"/>
        <w:numPr>
          <w:ilvl w:val="0"/>
          <w:numId w:val="16"/>
        </w:numPr>
        <w:rPr>
          <w:szCs w:val="20"/>
        </w:rPr>
      </w:pPr>
      <w:r w:rsidRPr="00344574">
        <w:rPr>
          <w:szCs w:val="20"/>
        </w:rPr>
        <w:t xml:space="preserve">Manage projects without taking over </w:t>
      </w:r>
    </w:p>
    <w:p w14:paraId="7D447A3E" w14:textId="77777777" w:rsidR="00344574" w:rsidRDefault="00344574" w:rsidP="00344574">
      <w:pPr>
        <w:rPr>
          <w:szCs w:val="20"/>
        </w:rPr>
      </w:pPr>
      <w:r w:rsidRPr="00344574">
        <w:rPr>
          <w:szCs w:val="20"/>
        </w:rPr>
        <w:t xml:space="preserve">Georgetown, Seattle | July 27 &amp; 28 | 8:30 to 5:00 pm </w:t>
      </w:r>
    </w:p>
    <w:p w14:paraId="2D6D9F77" w14:textId="513F1CE6" w:rsidR="00344574" w:rsidRPr="00344574" w:rsidRDefault="00344574" w:rsidP="00344574">
      <w:pPr>
        <w:rPr>
          <w:szCs w:val="20"/>
        </w:rPr>
      </w:pPr>
      <w:r w:rsidRPr="00344574">
        <w:rPr>
          <w:szCs w:val="20"/>
        </w:rPr>
        <w:t>Registration now open at Archbright.com!</w:t>
      </w:r>
    </w:p>
    <w:p w14:paraId="618B5E70" w14:textId="77777777" w:rsidR="00344574" w:rsidRPr="00344574" w:rsidRDefault="00344574" w:rsidP="00344574">
      <w:pPr>
        <w:rPr>
          <w:szCs w:val="20"/>
        </w:rPr>
      </w:pPr>
      <w:r w:rsidRPr="00344574">
        <w:rPr>
          <w:szCs w:val="20"/>
        </w:rPr>
        <w:t>If you are interested in training 10 or more employees at your location, contact your Account Executive or call 206.329.1120, 509.381.1635 for information.</w:t>
      </w:r>
    </w:p>
    <w:p w14:paraId="3AB2D018" w14:textId="77777777" w:rsidR="00344574" w:rsidRPr="00344574" w:rsidRDefault="00344574" w:rsidP="00344574">
      <w:pPr>
        <w:rPr>
          <w:b/>
          <w:szCs w:val="20"/>
        </w:rPr>
      </w:pPr>
      <w:r w:rsidRPr="00344574">
        <w:rPr>
          <w:b/>
          <w:szCs w:val="20"/>
        </w:rPr>
        <w:t>Forklift Train-the-Trainer</w:t>
      </w:r>
    </w:p>
    <w:p w14:paraId="78E607A6" w14:textId="77777777" w:rsidR="00344574" w:rsidRPr="00344574" w:rsidRDefault="00344574" w:rsidP="00344574">
      <w:pPr>
        <w:rPr>
          <w:szCs w:val="20"/>
        </w:rPr>
      </w:pPr>
      <w:r w:rsidRPr="00344574">
        <w:rPr>
          <w:szCs w:val="20"/>
        </w:rPr>
        <w:t>This will be the only time this year that this class is held!</w:t>
      </w:r>
    </w:p>
    <w:p w14:paraId="2BC070D4" w14:textId="77777777" w:rsidR="00344574" w:rsidRPr="00344574" w:rsidRDefault="00344574" w:rsidP="00344574">
      <w:pPr>
        <w:rPr>
          <w:szCs w:val="20"/>
        </w:rPr>
      </w:pPr>
      <w:r w:rsidRPr="00344574">
        <w:rPr>
          <w:szCs w:val="20"/>
        </w:rPr>
        <w:t>When it comes to meeting the compliance rules for forklift training, employers may not be aware of how difficult it truly is to properly train and document this process.</w:t>
      </w:r>
    </w:p>
    <w:p w14:paraId="10B542DF" w14:textId="77777777" w:rsidR="00344574" w:rsidRPr="00344574" w:rsidRDefault="00344574" w:rsidP="00344574">
      <w:pPr>
        <w:rPr>
          <w:szCs w:val="20"/>
        </w:rPr>
      </w:pPr>
      <w:r w:rsidRPr="00344574">
        <w:rPr>
          <w:szCs w:val="20"/>
        </w:rPr>
        <w:t>Forklift Train-the-Trainer was created to allow a competent employee to inform, train, evaluate, and certify new or experienced forklift operators to meet the Washington Administrative Code.</w:t>
      </w:r>
    </w:p>
    <w:p w14:paraId="14D30DED" w14:textId="77777777" w:rsidR="00344574" w:rsidRPr="00344574" w:rsidRDefault="00344574" w:rsidP="00344574">
      <w:pPr>
        <w:rPr>
          <w:szCs w:val="20"/>
        </w:rPr>
      </w:pPr>
      <w:r w:rsidRPr="00344574">
        <w:rPr>
          <w:szCs w:val="20"/>
        </w:rPr>
        <w:t>Georgetown, Seattle | July 18 | 9:00 to 3:30 pm</w:t>
      </w:r>
    </w:p>
    <w:p w14:paraId="4CD881A2" w14:textId="7FC9F750" w:rsidR="00DA6A32" w:rsidRDefault="00344574" w:rsidP="00344574">
      <w:pPr>
        <w:rPr>
          <w:szCs w:val="20"/>
        </w:rPr>
      </w:pPr>
      <w:r w:rsidRPr="00344574">
        <w:rPr>
          <w:szCs w:val="20"/>
        </w:rPr>
        <w:t>Registration now open at Archbright.com!</w:t>
      </w:r>
    </w:p>
    <w:p w14:paraId="1787B406" w14:textId="0BC4C434" w:rsidR="00033202" w:rsidRPr="00033202" w:rsidRDefault="00033202" w:rsidP="00033202">
      <w:pPr>
        <w:rPr>
          <w:szCs w:val="20"/>
        </w:rPr>
      </w:pPr>
    </w:p>
    <w:p w14:paraId="4C120466" w14:textId="77777777" w:rsidR="00033202" w:rsidRDefault="00033202" w:rsidP="009047B8">
      <w:pPr>
        <w:rPr>
          <w:b/>
          <w:szCs w:val="20"/>
        </w:rPr>
        <w:sectPr w:rsidR="00033202" w:rsidSect="005F328F">
          <w:pgSz w:w="12240" w:h="15840" w:code="1"/>
          <w:pgMar w:top="1440" w:right="1440" w:bottom="1296" w:left="1440" w:header="720" w:footer="288" w:gutter="0"/>
          <w:cols w:space="720"/>
          <w:docGrid w:linePitch="360"/>
        </w:sectPr>
      </w:pPr>
    </w:p>
    <w:p w14:paraId="13FD61DC" w14:textId="77777777" w:rsidR="00344574" w:rsidRDefault="00344574" w:rsidP="005637FE">
      <w:pPr>
        <w:rPr>
          <w:b/>
          <w:szCs w:val="20"/>
        </w:rPr>
      </w:pPr>
      <w:r w:rsidRPr="00344574">
        <w:rPr>
          <w:b/>
          <w:szCs w:val="20"/>
        </w:rPr>
        <w:lastRenderedPageBreak/>
        <w:t xml:space="preserve">Oregon Expands Wage Discrimination Law, Prohibits Salary History Inquiries </w:t>
      </w:r>
    </w:p>
    <w:p w14:paraId="296788C3" w14:textId="77777777" w:rsidR="00344574" w:rsidRPr="00344574" w:rsidRDefault="00344574" w:rsidP="00344574">
      <w:pPr>
        <w:rPr>
          <w:szCs w:val="20"/>
        </w:rPr>
      </w:pPr>
      <w:r w:rsidRPr="00344574">
        <w:rPr>
          <w:szCs w:val="20"/>
        </w:rPr>
        <w:t xml:space="preserve">On June 1, 2017, Oregon Governor Kate Brown signed legislation that makes it unlawful for an employer to pay employees performing work of comparable character differently </w:t>
      </w:r>
      <w:proofErr w:type="gramStart"/>
      <w:r w:rsidRPr="00344574">
        <w:rPr>
          <w:szCs w:val="20"/>
        </w:rPr>
        <w:t>on the basis of</w:t>
      </w:r>
      <w:proofErr w:type="gramEnd"/>
      <w:r w:rsidRPr="00344574">
        <w:rPr>
          <w:szCs w:val="20"/>
        </w:rPr>
        <w:t xml:space="preserve"> race, color, religion, sex, sexual orientation (including gender identity), national origin, marital status, veteran status, disability, or age.</w:t>
      </w:r>
    </w:p>
    <w:p w14:paraId="1F91309F" w14:textId="15D8DD7F" w:rsidR="00344574" w:rsidRPr="00344574" w:rsidRDefault="00344574" w:rsidP="00344574">
      <w:pPr>
        <w:rPr>
          <w:szCs w:val="20"/>
        </w:rPr>
      </w:pPr>
      <w:r w:rsidRPr="00344574">
        <w:rPr>
          <w:szCs w:val="20"/>
        </w:rPr>
        <w:t>The Oregon Equal Pay Act (the “Act”) explicitly prohibits employers from screening job applicants based on current or past compensation and/or asking applicants about their salary history or seeking it from other businesses. Likewise, employers may not determine compensation for a position based on</w:t>
      </w:r>
      <w:r>
        <w:rPr>
          <w:szCs w:val="20"/>
        </w:rPr>
        <w:t xml:space="preserve"> </w:t>
      </w:r>
      <w:r w:rsidRPr="00344574">
        <w:rPr>
          <w:szCs w:val="20"/>
        </w:rPr>
        <w:t>the current or past compensation of a prospective employee except when considering the transfer or move of a current employee into a new position.</w:t>
      </w:r>
    </w:p>
    <w:p w14:paraId="18D483FC" w14:textId="172D9521" w:rsidR="00344574" w:rsidRPr="00344574" w:rsidRDefault="00344574" w:rsidP="00344574">
      <w:pPr>
        <w:rPr>
          <w:szCs w:val="20"/>
        </w:rPr>
      </w:pPr>
      <w:r w:rsidRPr="00344574">
        <w:rPr>
          <w:szCs w:val="20"/>
        </w:rPr>
        <w:t>Nevertheless, the Act provides that employers may pay employees differently, provided the difference is based on a bona fide factor related to the position,</w:t>
      </w:r>
      <w:r>
        <w:rPr>
          <w:szCs w:val="20"/>
        </w:rPr>
        <w:t xml:space="preserve"> </w:t>
      </w:r>
      <w:r w:rsidRPr="00344574">
        <w:rPr>
          <w:szCs w:val="20"/>
        </w:rPr>
        <w:t>including: seniority; mer</w:t>
      </w:r>
      <w:r>
        <w:rPr>
          <w:szCs w:val="20"/>
        </w:rPr>
        <w:t xml:space="preserve">it; a system measuring earnings </w:t>
      </w:r>
      <w:r w:rsidRPr="00344574">
        <w:rPr>
          <w:szCs w:val="20"/>
        </w:rPr>
        <w:t>by quantity, quality, or production, including piece-rate work; workplace locations; travel; education; training; experience; or any combination of the above.</w:t>
      </w:r>
    </w:p>
    <w:p w14:paraId="2BD81A16" w14:textId="77777777" w:rsidR="00344574" w:rsidRPr="00344574" w:rsidRDefault="00344574" w:rsidP="00344574">
      <w:pPr>
        <w:rPr>
          <w:szCs w:val="20"/>
        </w:rPr>
      </w:pPr>
      <w:proofErr w:type="gramStart"/>
      <w:r w:rsidRPr="00344574">
        <w:rPr>
          <w:szCs w:val="20"/>
        </w:rPr>
        <w:t>The majority of</w:t>
      </w:r>
      <w:proofErr w:type="gramEnd"/>
      <w:r w:rsidRPr="00344574">
        <w:rPr>
          <w:szCs w:val="20"/>
        </w:rPr>
        <w:t xml:space="preserve"> the law’s provisions, including its screening and wage discrimination provisions, take effect January 1, 2019, though related civil actions are not authorized until January 1, 2024.</w:t>
      </w:r>
    </w:p>
    <w:p w14:paraId="1C6D9908" w14:textId="77777777" w:rsidR="00344574" w:rsidRPr="00344574" w:rsidRDefault="00344574" w:rsidP="00344574">
      <w:pPr>
        <w:rPr>
          <w:szCs w:val="20"/>
        </w:rPr>
      </w:pPr>
      <w:r w:rsidRPr="00344574">
        <w:rPr>
          <w:szCs w:val="20"/>
        </w:rPr>
        <w:t>However, a ban on seeking salary history from applicants takes effect 90 days following the end of Oregon’s legislative session which is expected to be October 2017. This means Oregon employers must review their application forms NOW to remove any inquiries on current or past wages.</w:t>
      </w:r>
    </w:p>
    <w:p w14:paraId="339495FC" w14:textId="77777777" w:rsidR="00344574" w:rsidRPr="00344574" w:rsidRDefault="00344574" w:rsidP="00344574">
      <w:pPr>
        <w:rPr>
          <w:szCs w:val="20"/>
        </w:rPr>
      </w:pPr>
      <w:r w:rsidRPr="00344574">
        <w:rPr>
          <w:szCs w:val="20"/>
        </w:rPr>
        <w:t>For questions about the law, its implementation, or best practices, consult with an Archbright attorney.</w:t>
      </w:r>
    </w:p>
    <w:p w14:paraId="200A33AD" w14:textId="664AA25C" w:rsidR="005637FE" w:rsidRPr="005637FE" w:rsidRDefault="00344574" w:rsidP="00344574">
      <w:pPr>
        <w:rPr>
          <w:szCs w:val="20"/>
        </w:rPr>
      </w:pPr>
      <w:r w:rsidRPr="00344574">
        <w:rPr>
          <w:szCs w:val="20"/>
        </w:rPr>
        <w:t>Source: Staff Counsel</w:t>
      </w:r>
    </w:p>
    <w:p w14:paraId="65ED4316" w14:textId="77777777" w:rsidR="00344574" w:rsidRDefault="00344574" w:rsidP="005637FE">
      <w:pPr>
        <w:rPr>
          <w:b/>
          <w:szCs w:val="20"/>
        </w:rPr>
      </w:pPr>
      <w:r w:rsidRPr="00344574">
        <w:rPr>
          <w:b/>
          <w:szCs w:val="20"/>
        </w:rPr>
        <w:t>Washington Adopts “Blacklisting” Law</w:t>
      </w:r>
    </w:p>
    <w:p w14:paraId="60678191" w14:textId="5A1DD22F" w:rsidR="00344574" w:rsidRPr="00344574" w:rsidRDefault="00344574" w:rsidP="00344574">
      <w:pPr>
        <w:rPr>
          <w:szCs w:val="20"/>
        </w:rPr>
      </w:pPr>
      <w:r w:rsidRPr="00344574">
        <w:rPr>
          <w:szCs w:val="20"/>
        </w:rPr>
        <w:t>On May 8, 2017, the Washington state</w:t>
      </w:r>
      <w:r>
        <w:rPr>
          <w:szCs w:val="20"/>
        </w:rPr>
        <w:t xml:space="preserve"> </w:t>
      </w:r>
      <w:r w:rsidRPr="00344574">
        <w:rPr>
          <w:szCs w:val="20"/>
        </w:rPr>
        <w:t>legislature enacted a statute which bans employers from competing for state and local contracts if they have willfully violated the state’s wage theft statutes (RCW Sections 49.46, 49.48, and 49,52). Prior to making a bid, employers must now disclose determinations by the state Department</w:t>
      </w:r>
      <w:r>
        <w:rPr>
          <w:szCs w:val="20"/>
        </w:rPr>
        <w:t xml:space="preserve"> </w:t>
      </w:r>
      <w:r w:rsidRPr="00344574">
        <w:rPr>
          <w:szCs w:val="20"/>
        </w:rPr>
        <w:t>of Labor and Industries or a civil court of willful violations of the statutes occurring within the past three years. Employers with these violations are considered not to be “responsible bidders” and will be disqualified from working on public works projects.</w:t>
      </w:r>
    </w:p>
    <w:p w14:paraId="7DE27B54" w14:textId="77777777" w:rsidR="00344574" w:rsidRPr="00344574" w:rsidRDefault="00344574" w:rsidP="00344574">
      <w:pPr>
        <w:rPr>
          <w:szCs w:val="20"/>
        </w:rPr>
      </w:pPr>
      <w:r w:rsidRPr="00344574">
        <w:rPr>
          <w:szCs w:val="20"/>
        </w:rPr>
        <w:t>Motivated by a legislative desire to level the playing field for businesses that are placed at a competitive disadvantage by employers that reduce costs by willfully violating state wage and hour law, the law passed with bi-partisan support.</w:t>
      </w:r>
    </w:p>
    <w:p w14:paraId="74A235AE" w14:textId="77777777" w:rsidR="00344574" w:rsidRPr="00344574" w:rsidRDefault="00344574" w:rsidP="00344574">
      <w:pPr>
        <w:rPr>
          <w:szCs w:val="20"/>
        </w:rPr>
      </w:pPr>
      <w:r w:rsidRPr="00344574">
        <w:rPr>
          <w:szCs w:val="20"/>
        </w:rPr>
        <w:t>Employers hoping to secure state and local contracts in Washington should review their payroll practices to ensure compliance with Washington’s wage theft statutes.</w:t>
      </w:r>
    </w:p>
    <w:p w14:paraId="0DF25145" w14:textId="77777777" w:rsidR="00344574" w:rsidRPr="00344574" w:rsidRDefault="00344574" w:rsidP="00344574">
      <w:pPr>
        <w:rPr>
          <w:szCs w:val="20"/>
        </w:rPr>
      </w:pPr>
      <w:r w:rsidRPr="00344574">
        <w:rPr>
          <w:szCs w:val="20"/>
        </w:rPr>
        <w:lastRenderedPageBreak/>
        <w:t xml:space="preserve">For more information on contractor duties, see Archbright’s </w:t>
      </w:r>
      <w:proofErr w:type="spellStart"/>
      <w:r w:rsidRPr="00344574">
        <w:rPr>
          <w:szCs w:val="20"/>
        </w:rPr>
        <w:t>KeyNotes</w:t>
      </w:r>
      <w:proofErr w:type="spellEnd"/>
      <w:r w:rsidRPr="00344574">
        <w:rPr>
          <w:szCs w:val="20"/>
        </w:rPr>
        <w:t xml:space="preserve"> on Federal Contractors and Prevailing Wage law, or consult with an Archbright attorney.</w:t>
      </w:r>
    </w:p>
    <w:p w14:paraId="59FC8CFB" w14:textId="24247DB0" w:rsidR="00033202" w:rsidRPr="00033202" w:rsidRDefault="00344574" w:rsidP="00344574">
      <w:pPr>
        <w:rPr>
          <w:szCs w:val="20"/>
        </w:rPr>
      </w:pPr>
      <w:r w:rsidRPr="00344574">
        <w:rPr>
          <w:szCs w:val="20"/>
        </w:rPr>
        <w:t>Source: Staff Counsel</w:t>
      </w:r>
    </w:p>
    <w:p w14:paraId="1FB78A95" w14:textId="77777777" w:rsidR="00344574" w:rsidRDefault="00344574" w:rsidP="007C2851">
      <w:pPr>
        <w:rPr>
          <w:b/>
          <w:szCs w:val="20"/>
        </w:rPr>
      </w:pPr>
      <w:r w:rsidRPr="00344574">
        <w:rPr>
          <w:b/>
          <w:szCs w:val="20"/>
        </w:rPr>
        <w:t>HR FAQ</w:t>
      </w:r>
    </w:p>
    <w:p w14:paraId="49C1BAE2" w14:textId="77777777" w:rsidR="00344574" w:rsidRPr="00344574" w:rsidRDefault="00344574" w:rsidP="00344574">
      <w:pPr>
        <w:rPr>
          <w:szCs w:val="20"/>
        </w:rPr>
      </w:pPr>
      <w:r w:rsidRPr="00344574">
        <w:rPr>
          <w:b/>
          <w:szCs w:val="20"/>
        </w:rPr>
        <w:t>Question:</w:t>
      </w:r>
      <w:r w:rsidRPr="00344574">
        <w:rPr>
          <w:szCs w:val="20"/>
        </w:rPr>
        <w:t xml:space="preserve"> We have an employee who is not eligible for FMLA and has asked for 6 weeks off to go to rehab for drug and alcohol addiction. She has not been performing well. Do we have to grant her time off and hold her job open?</w:t>
      </w:r>
    </w:p>
    <w:p w14:paraId="1DFD2887" w14:textId="787EADB9" w:rsidR="00344574" w:rsidRPr="00344574" w:rsidRDefault="00344574" w:rsidP="00344574">
      <w:pPr>
        <w:rPr>
          <w:szCs w:val="20"/>
        </w:rPr>
      </w:pPr>
      <w:r w:rsidRPr="00344574">
        <w:rPr>
          <w:b/>
          <w:szCs w:val="20"/>
        </w:rPr>
        <w:t>Answer:</w:t>
      </w:r>
      <w:r w:rsidRPr="00344574">
        <w:rPr>
          <w:szCs w:val="20"/>
        </w:rPr>
        <w:t xml:space="preserve"> Most probably yes, regardless of her performance or eligibility for FMLA. The Americans with Disabilities Act (ADA) prevents employers from discriminating against persons with disabilities. The ADA cons</w:t>
      </w:r>
      <w:r>
        <w:rPr>
          <w:szCs w:val="20"/>
        </w:rPr>
        <w:t xml:space="preserve">iders alcoholics and recovering </w:t>
      </w:r>
      <w:r w:rsidRPr="00344574">
        <w:rPr>
          <w:szCs w:val="20"/>
        </w:rPr>
        <w:t>drug addicts to be disabled. While the ADA does not provide protection for those who go to work impaired (under the influence) or who are currently using illegal drugs, it does provide protection for those seeking to take rehabilitation leave and job restoration.</w:t>
      </w:r>
    </w:p>
    <w:p w14:paraId="14089744" w14:textId="77777777" w:rsidR="00344574" w:rsidRPr="00344574" w:rsidRDefault="00344574" w:rsidP="00344574">
      <w:pPr>
        <w:rPr>
          <w:szCs w:val="20"/>
        </w:rPr>
      </w:pPr>
      <w:r w:rsidRPr="00344574">
        <w:rPr>
          <w:szCs w:val="20"/>
        </w:rPr>
        <w:t>An employer also may not discriminate against applicants or employees who are recovered alcoholics or drug users. They are regarded as disabled even though they are no longer abusing drugs or alcohol.</w:t>
      </w:r>
    </w:p>
    <w:p w14:paraId="14678E86" w14:textId="4B4A375F" w:rsidR="00344574" w:rsidRPr="00344574" w:rsidRDefault="00344574" w:rsidP="00344574">
      <w:pPr>
        <w:rPr>
          <w:szCs w:val="20"/>
        </w:rPr>
      </w:pPr>
      <w:r w:rsidRPr="00344574">
        <w:rPr>
          <w:szCs w:val="20"/>
        </w:rPr>
        <w:t>When dealing with an accommodation request, it is best for the employer to engage with the employee and her physician or counselor to determine what a reasonable accommodation might be. In the case of a reh</w:t>
      </w:r>
      <w:r>
        <w:rPr>
          <w:szCs w:val="20"/>
        </w:rPr>
        <w:t xml:space="preserve">abilitation leave, the employer </w:t>
      </w:r>
      <w:r w:rsidRPr="00344574">
        <w:rPr>
          <w:szCs w:val="20"/>
        </w:rPr>
        <w:t>may not know about the need for accommodation until the employee is already in treatment. At this point, the employer is on notice of the disability and should engage in the interactive process to consider whether the employee is entitled to leave as a reasonable accommodation.</w:t>
      </w:r>
    </w:p>
    <w:p w14:paraId="63D35CCE" w14:textId="77777777" w:rsidR="00344574" w:rsidRPr="00344574" w:rsidRDefault="00344574" w:rsidP="00344574">
      <w:pPr>
        <w:rPr>
          <w:szCs w:val="20"/>
        </w:rPr>
      </w:pPr>
      <w:r w:rsidRPr="00344574">
        <w:rPr>
          <w:szCs w:val="20"/>
        </w:rPr>
        <w:t>Even if the employee is not eligible for FMLA and is requesting leave to re-enter treatment, the employer must engage in the interactive process with the employee and physician to determine if additional leave is a reasonable accommodation.</w:t>
      </w:r>
    </w:p>
    <w:p w14:paraId="585E0E5F" w14:textId="3E9C3888" w:rsidR="007C2851" w:rsidRDefault="00344574" w:rsidP="00344574">
      <w:pPr>
        <w:rPr>
          <w:szCs w:val="20"/>
        </w:rPr>
      </w:pPr>
      <w:r w:rsidRPr="00344574">
        <w:rPr>
          <w:szCs w:val="20"/>
        </w:rPr>
        <w:t>An employee who is currently engaging in the illegal use of drugs or shows up at work impaired from alcohol use is not an “individual with a disability” who requires accommodation. Employers do have the option of requiring current employees, who test positive for drugs or alcohol, to participate in a Last Chance Agreement as a requirement to keep their job.</w:t>
      </w:r>
    </w:p>
    <w:p w14:paraId="40014CE2" w14:textId="77777777" w:rsidR="00344574" w:rsidRDefault="00344574" w:rsidP="007C2851">
      <w:pPr>
        <w:rPr>
          <w:b/>
          <w:szCs w:val="20"/>
        </w:rPr>
      </w:pPr>
      <w:r w:rsidRPr="00344574">
        <w:rPr>
          <w:b/>
          <w:szCs w:val="20"/>
        </w:rPr>
        <w:t>Enhanced Driver Licenses Necessary for U.S. Travel</w:t>
      </w:r>
    </w:p>
    <w:p w14:paraId="6E5F9BC5" w14:textId="77777777" w:rsidR="000B74FB" w:rsidRPr="000B74FB" w:rsidRDefault="000B74FB" w:rsidP="000B74FB">
      <w:pPr>
        <w:rPr>
          <w:szCs w:val="20"/>
        </w:rPr>
      </w:pPr>
      <w:r w:rsidRPr="000B74FB">
        <w:rPr>
          <w:szCs w:val="20"/>
        </w:rPr>
        <w:t>Passed by Congress in 2005, the REAL ID Act sets stricter standards for obtaining a source of identification, such as driver’s licenses. It is part of national security measures enacted in the aftermath of 9/11 to reduce the number of “fake IDs”. The Act establishes minimum security standards for state-issued driver’s licenses and identification cards and prohibits Federal agencies from accepting for official purposes licenses and identification cards from states that do not meet these standards.</w:t>
      </w:r>
    </w:p>
    <w:p w14:paraId="64E7C5DB" w14:textId="77777777" w:rsidR="000B74FB" w:rsidRPr="000B74FB" w:rsidRDefault="000B74FB" w:rsidP="000B74FB">
      <w:pPr>
        <w:rPr>
          <w:szCs w:val="20"/>
        </w:rPr>
      </w:pPr>
      <w:r w:rsidRPr="000B74FB">
        <w:rPr>
          <w:szCs w:val="20"/>
        </w:rPr>
        <w:t xml:space="preserve">Starting January 22, 2018, airline passengers with a driver’s license issued from a state that is not compliant with the REAL ID Act (and has not been granted an extension) must show </w:t>
      </w:r>
      <w:r w:rsidRPr="000B74FB">
        <w:rPr>
          <w:szCs w:val="20"/>
        </w:rPr>
        <w:lastRenderedPageBreak/>
        <w:t>an alternative form of acceptable identification to board their flights. Alternative forms of ID are listed at the bottom of this article.</w:t>
      </w:r>
    </w:p>
    <w:p w14:paraId="2A9E54FA" w14:textId="77777777" w:rsidR="000B74FB" w:rsidRPr="000B74FB" w:rsidRDefault="000B74FB" w:rsidP="000B74FB">
      <w:pPr>
        <w:rPr>
          <w:szCs w:val="20"/>
        </w:rPr>
      </w:pPr>
      <w:r w:rsidRPr="000B74FB">
        <w:rPr>
          <w:szCs w:val="20"/>
        </w:rPr>
        <w:t>The compliance status for Washington, Oregon, and Idaho is outlined below. For the status of other states, refer to the Department of Homeland Security (DHS) website.</w:t>
      </w:r>
    </w:p>
    <w:p w14:paraId="172EBC4F" w14:textId="77777777" w:rsidR="000B74FB" w:rsidRPr="000B74FB" w:rsidRDefault="000B74FB" w:rsidP="000B74FB">
      <w:pPr>
        <w:rPr>
          <w:b/>
          <w:szCs w:val="20"/>
        </w:rPr>
      </w:pPr>
      <w:r w:rsidRPr="000B74FB">
        <w:rPr>
          <w:b/>
          <w:szCs w:val="20"/>
        </w:rPr>
        <w:t>Washington</w:t>
      </w:r>
    </w:p>
    <w:p w14:paraId="76FAF318" w14:textId="77777777" w:rsidR="000B74FB" w:rsidRPr="000B74FB" w:rsidRDefault="000B74FB" w:rsidP="000B74FB">
      <w:pPr>
        <w:rPr>
          <w:szCs w:val="20"/>
        </w:rPr>
      </w:pPr>
      <w:r w:rsidRPr="000B74FB">
        <w:rPr>
          <w:szCs w:val="20"/>
        </w:rPr>
        <w:t>Washington has a limited extension for REAL ID enforcement, allowing federal agencies to accept driver’s licenses from Washington until October 10, 2017. It is unlikely there will be further waivers.</w:t>
      </w:r>
    </w:p>
    <w:p w14:paraId="144CDC1A" w14:textId="77777777" w:rsidR="000B74FB" w:rsidRPr="000B74FB" w:rsidRDefault="000B74FB" w:rsidP="000B74FB">
      <w:pPr>
        <w:rPr>
          <w:szCs w:val="20"/>
        </w:rPr>
      </w:pPr>
      <w:r w:rsidRPr="000B74FB">
        <w:rPr>
          <w:szCs w:val="20"/>
        </w:rPr>
        <w:t>Washington does issue Enhanced Driver’s Licenses (EDL). It takes two weeks after completing an application to receive an EDL.</w:t>
      </w:r>
    </w:p>
    <w:p w14:paraId="63A49900" w14:textId="77777777" w:rsidR="000B74FB" w:rsidRPr="000B74FB" w:rsidRDefault="000B74FB" w:rsidP="000B74FB">
      <w:pPr>
        <w:rPr>
          <w:b/>
          <w:szCs w:val="20"/>
        </w:rPr>
      </w:pPr>
      <w:r w:rsidRPr="000B74FB">
        <w:rPr>
          <w:b/>
          <w:szCs w:val="20"/>
        </w:rPr>
        <w:t>Oregon</w:t>
      </w:r>
    </w:p>
    <w:p w14:paraId="3C8E80BF" w14:textId="77777777" w:rsidR="000B74FB" w:rsidRPr="000B74FB" w:rsidRDefault="000B74FB" w:rsidP="000B74FB">
      <w:pPr>
        <w:rPr>
          <w:szCs w:val="20"/>
        </w:rPr>
      </w:pPr>
      <w:r w:rsidRPr="000B74FB">
        <w:rPr>
          <w:szCs w:val="20"/>
        </w:rPr>
        <w:t>Oregon-issued driver’s licenses and identification cards will be accepted for federal ID purposes only through July 10, 2017. Since it is doubtful that extensions will be granted, alternative forms of ID will be needed for travel.</w:t>
      </w:r>
    </w:p>
    <w:p w14:paraId="41EE00DE" w14:textId="77777777" w:rsidR="000B74FB" w:rsidRPr="000B74FB" w:rsidRDefault="000B74FB" w:rsidP="000B74FB">
      <w:pPr>
        <w:rPr>
          <w:szCs w:val="20"/>
        </w:rPr>
      </w:pPr>
      <w:r w:rsidRPr="000B74FB">
        <w:rPr>
          <w:szCs w:val="20"/>
        </w:rPr>
        <w:t>The information on the Oregon DMV website is very limited.</w:t>
      </w:r>
    </w:p>
    <w:p w14:paraId="62A42A8D" w14:textId="77777777" w:rsidR="000B74FB" w:rsidRPr="000B74FB" w:rsidRDefault="000B74FB" w:rsidP="000B74FB">
      <w:pPr>
        <w:rPr>
          <w:b/>
          <w:szCs w:val="20"/>
        </w:rPr>
      </w:pPr>
      <w:r w:rsidRPr="000B74FB">
        <w:rPr>
          <w:b/>
          <w:szCs w:val="20"/>
        </w:rPr>
        <w:t>Idaho</w:t>
      </w:r>
    </w:p>
    <w:p w14:paraId="4F013E43" w14:textId="77777777" w:rsidR="000B74FB" w:rsidRPr="000B74FB" w:rsidRDefault="000B74FB" w:rsidP="000B74FB">
      <w:pPr>
        <w:rPr>
          <w:szCs w:val="20"/>
        </w:rPr>
      </w:pPr>
      <w:r w:rsidRPr="000B74FB">
        <w:rPr>
          <w:szCs w:val="20"/>
        </w:rPr>
        <w:t xml:space="preserve">Idaho driver’s licenses and identification cards will be accepted at airports until October 2017. Idaho will seek an extension for current licenses to be accepted until October 1, 2020. Since it is doubtful that the extension will be granted, alternative forms of ID will be needed for travel. For additional information </w:t>
      </w:r>
      <w:proofErr w:type="gramStart"/>
      <w:r w:rsidRPr="000B74FB">
        <w:rPr>
          <w:szCs w:val="20"/>
        </w:rPr>
        <w:t>visit</w:t>
      </w:r>
      <w:proofErr w:type="gramEnd"/>
      <w:r w:rsidRPr="000B74FB">
        <w:rPr>
          <w:szCs w:val="20"/>
        </w:rPr>
        <w:t xml:space="preserve"> the Idaho DMV website.</w:t>
      </w:r>
    </w:p>
    <w:p w14:paraId="7DBE5E69" w14:textId="77777777" w:rsidR="000B74FB" w:rsidRPr="000B74FB" w:rsidRDefault="000B74FB" w:rsidP="000B74FB">
      <w:pPr>
        <w:rPr>
          <w:szCs w:val="20"/>
        </w:rPr>
      </w:pPr>
      <w:r w:rsidRPr="000B74FB">
        <w:rPr>
          <w:szCs w:val="20"/>
        </w:rPr>
        <w:t>Alternative forms of ID for domestic travel include:</w:t>
      </w:r>
    </w:p>
    <w:p w14:paraId="21DCF03C" w14:textId="015C189E" w:rsidR="000B74FB" w:rsidRPr="000B74FB" w:rsidRDefault="000B74FB" w:rsidP="000B74FB">
      <w:pPr>
        <w:pStyle w:val="ListParagraph"/>
        <w:numPr>
          <w:ilvl w:val="0"/>
          <w:numId w:val="16"/>
        </w:numPr>
        <w:rPr>
          <w:szCs w:val="20"/>
        </w:rPr>
      </w:pPr>
      <w:r w:rsidRPr="000B74FB">
        <w:rPr>
          <w:szCs w:val="20"/>
        </w:rPr>
        <w:t>U.S. passport</w:t>
      </w:r>
    </w:p>
    <w:p w14:paraId="33F8EE89" w14:textId="5F94E5D2" w:rsidR="000B74FB" w:rsidRPr="000B74FB" w:rsidRDefault="000B74FB" w:rsidP="000B74FB">
      <w:pPr>
        <w:pStyle w:val="ListParagraph"/>
        <w:numPr>
          <w:ilvl w:val="0"/>
          <w:numId w:val="16"/>
        </w:numPr>
        <w:rPr>
          <w:szCs w:val="20"/>
        </w:rPr>
      </w:pPr>
      <w:r w:rsidRPr="000B74FB">
        <w:rPr>
          <w:szCs w:val="20"/>
        </w:rPr>
        <w:t>U.S. passport card</w:t>
      </w:r>
    </w:p>
    <w:p w14:paraId="6FE3D535" w14:textId="513A7A1D" w:rsidR="000B74FB" w:rsidRPr="000B74FB" w:rsidRDefault="000B74FB" w:rsidP="000B74FB">
      <w:pPr>
        <w:pStyle w:val="ListParagraph"/>
        <w:numPr>
          <w:ilvl w:val="0"/>
          <w:numId w:val="16"/>
        </w:numPr>
        <w:rPr>
          <w:szCs w:val="20"/>
        </w:rPr>
      </w:pPr>
      <w:r w:rsidRPr="000B74FB">
        <w:rPr>
          <w:szCs w:val="20"/>
        </w:rPr>
        <w:t>DHS trusted traveler cards (Global Entry, NEXUS, SENTRI, FAST)</w:t>
      </w:r>
    </w:p>
    <w:p w14:paraId="1277517C" w14:textId="4E51A65D" w:rsidR="000B74FB" w:rsidRPr="000B74FB" w:rsidRDefault="000B74FB" w:rsidP="000B74FB">
      <w:pPr>
        <w:pStyle w:val="ListParagraph"/>
        <w:numPr>
          <w:ilvl w:val="0"/>
          <w:numId w:val="16"/>
        </w:numPr>
        <w:rPr>
          <w:szCs w:val="20"/>
        </w:rPr>
      </w:pPr>
      <w:r w:rsidRPr="000B74FB">
        <w:rPr>
          <w:szCs w:val="20"/>
        </w:rPr>
        <w:t>U.S. military ID (active duty or retired military and their dependents, and DoD civilians)</w:t>
      </w:r>
    </w:p>
    <w:p w14:paraId="067DC603" w14:textId="74AA6D87" w:rsidR="000B74FB" w:rsidRPr="000B74FB" w:rsidRDefault="000B74FB" w:rsidP="000B74FB">
      <w:pPr>
        <w:pStyle w:val="ListParagraph"/>
        <w:numPr>
          <w:ilvl w:val="0"/>
          <w:numId w:val="16"/>
        </w:numPr>
        <w:rPr>
          <w:szCs w:val="20"/>
        </w:rPr>
      </w:pPr>
      <w:r w:rsidRPr="000B74FB">
        <w:rPr>
          <w:szCs w:val="20"/>
        </w:rPr>
        <w:t>Permanent resident card</w:t>
      </w:r>
    </w:p>
    <w:p w14:paraId="22220AE7" w14:textId="4766AC58" w:rsidR="000B74FB" w:rsidRPr="000B74FB" w:rsidRDefault="000B74FB" w:rsidP="000B74FB">
      <w:pPr>
        <w:pStyle w:val="ListParagraph"/>
        <w:numPr>
          <w:ilvl w:val="0"/>
          <w:numId w:val="16"/>
        </w:numPr>
        <w:rPr>
          <w:szCs w:val="20"/>
        </w:rPr>
      </w:pPr>
      <w:r w:rsidRPr="000B74FB">
        <w:rPr>
          <w:szCs w:val="20"/>
        </w:rPr>
        <w:t>Border crossing card</w:t>
      </w:r>
    </w:p>
    <w:p w14:paraId="0F090109" w14:textId="666E61D5" w:rsidR="000B74FB" w:rsidRPr="000B74FB" w:rsidRDefault="000B74FB" w:rsidP="000B74FB">
      <w:pPr>
        <w:pStyle w:val="ListParagraph"/>
        <w:numPr>
          <w:ilvl w:val="0"/>
          <w:numId w:val="16"/>
        </w:numPr>
        <w:rPr>
          <w:szCs w:val="20"/>
        </w:rPr>
      </w:pPr>
      <w:r w:rsidRPr="000B74FB">
        <w:rPr>
          <w:szCs w:val="20"/>
        </w:rPr>
        <w:t>DHS-designated enhanced driver’s license</w:t>
      </w:r>
    </w:p>
    <w:p w14:paraId="677963D3" w14:textId="436AB00A" w:rsidR="000B74FB" w:rsidRPr="000B74FB" w:rsidRDefault="000B74FB" w:rsidP="000B74FB">
      <w:pPr>
        <w:pStyle w:val="ListParagraph"/>
        <w:numPr>
          <w:ilvl w:val="0"/>
          <w:numId w:val="16"/>
        </w:numPr>
        <w:rPr>
          <w:szCs w:val="20"/>
        </w:rPr>
      </w:pPr>
      <w:r w:rsidRPr="000B74FB">
        <w:rPr>
          <w:szCs w:val="20"/>
        </w:rPr>
        <w:t>Federally recognized, tribal-issued photo ID</w:t>
      </w:r>
    </w:p>
    <w:p w14:paraId="36F78047" w14:textId="77777777" w:rsidR="000B74FB" w:rsidRPr="000B74FB" w:rsidRDefault="000B74FB" w:rsidP="000B74FB">
      <w:pPr>
        <w:rPr>
          <w:szCs w:val="20"/>
        </w:rPr>
      </w:pPr>
      <w:r w:rsidRPr="000B74FB">
        <w:rPr>
          <w:szCs w:val="20"/>
        </w:rPr>
        <w:t>The documents needed to apply for an EDL are as follows:</w:t>
      </w:r>
    </w:p>
    <w:p w14:paraId="5000E97A" w14:textId="6F37C595" w:rsidR="000B74FB" w:rsidRPr="000B74FB" w:rsidRDefault="000B74FB" w:rsidP="000B74FB">
      <w:pPr>
        <w:pStyle w:val="ListParagraph"/>
        <w:numPr>
          <w:ilvl w:val="0"/>
          <w:numId w:val="16"/>
        </w:numPr>
        <w:rPr>
          <w:szCs w:val="20"/>
        </w:rPr>
      </w:pPr>
      <w:r w:rsidRPr="000B74FB">
        <w:rPr>
          <w:szCs w:val="20"/>
        </w:rPr>
        <w:t>Proof of state residency</w:t>
      </w:r>
    </w:p>
    <w:p w14:paraId="4E09C450" w14:textId="2DDED384" w:rsidR="000B74FB" w:rsidRPr="000B74FB" w:rsidRDefault="000B74FB" w:rsidP="000B74FB">
      <w:pPr>
        <w:pStyle w:val="ListParagraph"/>
        <w:numPr>
          <w:ilvl w:val="0"/>
          <w:numId w:val="16"/>
        </w:numPr>
        <w:rPr>
          <w:szCs w:val="20"/>
        </w:rPr>
      </w:pPr>
      <w:r w:rsidRPr="000B74FB">
        <w:rPr>
          <w:szCs w:val="20"/>
        </w:rPr>
        <w:t>Proof of U.S. citizenship such as a certified copy of your birth certificate or naturalization paperwork</w:t>
      </w:r>
    </w:p>
    <w:p w14:paraId="67BD067B" w14:textId="6EBE185A" w:rsidR="000B74FB" w:rsidRPr="000B74FB" w:rsidRDefault="000B74FB" w:rsidP="000B74FB">
      <w:pPr>
        <w:pStyle w:val="ListParagraph"/>
        <w:numPr>
          <w:ilvl w:val="0"/>
          <w:numId w:val="16"/>
        </w:numPr>
        <w:rPr>
          <w:szCs w:val="20"/>
        </w:rPr>
      </w:pPr>
      <w:r w:rsidRPr="000B74FB">
        <w:rPr>
          <w:szCs w:val="20"/>
        </w:rPr>
        <w:t>Proof of identity (In most cases, your current driver’s license will suffice.)</w:t>
      </w:r>
    </w:p>
    <w:p w14:paraId="156D3FB3" w14:textId="1BBD14BE" w:rsidR="000B74FB" w:rsidRPr="000B74FB" w:rsidRDefault="000B74FB" w:rsidP="000B74FB">
      <w:pPr>
        <w:pStyle w:val="ListParagraph"/>
        <w:numPr>
          <w:ilvl w:val="0"/>
          <w:numId w:val="16"/>
        </w:numPr>
        <w:rPr>
          <w:szCs w:val="20"/>
        </w:rPr>
      </w:pPr>
      <w:r w:rsidRPr="000B74FB">
        <w:rPr>
          <w:szCs w:val="20"/>
        </w:rPr>
        <w:t>Airline or airport-issued ID (if issued under a TSA- approved security plan)</w:t>
      </w:r>
    </w:p>
    <w:p w14:paraId="1B316E27" w14:textId="33AE94D6" w:rsidR="000B74FB" w:rsidRPr="000B74FB" w:rsidRDefault="000B74FB" w:rsidP="000B74FB">
      <w:pPr>
        <w:pStyle w:val="ListParagraph"/>
        <w:numPr>
          <w:ilvl w:val="0"/>
          <w:numId w:val="16"/>
        </w:numPr>
        <w:rPr>
          <w:szCs w:val="20"/>
        </w:rPr>
      </w:pPr>
      <w:r w:rsidRPr="000B74FB">
        <w:rPr>
          <w:szCs w:val="20"/>
        </w:rPr>
        <w:t>HSPD-12 PIV card</w:t>
      </w:r>
    </w:p>
    <w:p w14:paraId="525B8384" w14:textId="5813030C" w:rsidR="000B74FB" w:rsidRPr="000B74FB" w:rsidRDefault="000B74FB" w:rsidP="000B74FB">
      <w:pPr>
        <w:pStyle w:val="ListParagraph"/>
        <w:numPr>
          <w:ilvl w:val="0"/>
          <w:numId w:val="16"/>
        </w:numPr>
        <w:rPr>
          <w:szCs w:val="20"/>
        </w:rPr>
      </w:pPr>
      <w:r w:rsidRPr="000B74FB">
        <w:rPr>
          <w:szCs w:val="20"/>
        </w:rPr>
        <w:lastRenderedPageBreak/>
        <w:t>Foreign government-issued passport</w:t>
      </w:r>
    </w:p>
    <w:p w14:paraId="1BD14562" w14:textId="5EDFE392" w:rsidR="000B74FB" w:rsidRPr="000B74FB" w:rsidRDefault="000B74FB" w:rsidP="000B74FB">
      <w:pPr>
        <w:pStyle w:val="ListParagraph"/>
        <w:numPr>
          <w:ilvl w:val="0"/>
          <w:numId w:val="16"/>
        </w:numPr>
        <w:rPr>
          <w:szCs w:val="20"/>
        </w:rPr>
      </w:pPr>
      <w:r w:rsidRPr="000B74FB">
        <w:rPr>
          <w:szCs w:val="20"/>
        </w:rPr>
        <w:t>Canadian provincial driver’s license or Indian and Northern Affairs Canada card</w:t>
      </w:r>
    </w:p>
    <w:p w14:paraId="465F7FB1" w14:textId="048D7B42" w:rsidR="000B74FB" w:rsidRPr="000B74FB" w:rsidRDefault="000B74FB" w:rsidP="000B74FB">
      <w:pPr>
        <w:pStyle w:val="ListParagraph"/>
        <w:numPr>
          <w:ilvl w:val="0"/>
          <w:numId w:val="16"/>
        </w:numPr>
        <w:rPr>
          <w:szCs w:val="20"/>
        </w:rPr>
      </w:pPr>
      <w:r w:rsidRPr="000B74FB">
        <w:rPr>
          <w:szCs w:val="20"/>
        </w:rPr>
        <w:t>Transportation worker identification credential</w:t>
      </w:r>
    </w:p>
    <w:p w14:paraId="58B280E4" w14:textId="35585301" w:rsidR="000B74FB" w:rsidRPr="000B74FB" w:rsidRDefault="000B74FB" w:rsidP="000B74FB">
      <w:pPr>
        <w:pStyle w:val="ListParagraph"/>
        <w:numPr>
          <w:ilvl w:val="0"/>
          <w:numId w:val="16"/>
        </w:numPr>
        <w:rPr>
          <w:szCs w:val="20"/>
        </w:rPr>
      </w:pPr>
      <w:r w:rsidRPr="000B74FB">
        <w:rPr>
          <w:szCs w:val="20"/>
        </w:rPr>
        <w:t>U.S. Citizenship and Immigration Services Employment Authorization Card (I-766)</w:t>
      </w:r>
    </w:p>
    <w:p w14:paraId="530791A1" w14:textId="34D624EE" w:rsidR="000B74FB" w:rsidRPr="000B74FB" w:rsidRDefault="000B74FB" w:rsidP="000B74FB">
      <w:pPr>
        <w:pStyle w:val="ListParagraph"/>
        <w:numPr>
          <w:ilvl w:val="0"/>
          <w:numId w:val="16"/>
        </w:numPr>
        <w:rPr>
          <w:szCs w:val="20"/>
        </w:rPr>
      </w:pPr>
      <w:r w:rsidRPr="000B74FB">
        <w:rPr>
          <w:szCs w:val="20"/>
        </w:rPr>
        <w:t>U.S. Merchant Mariner Credential</w:t>
      </w:r>
    </w:p>
    <w:p w14:paraId="6BD88538" w14:textId="114769BE" w:rsidR="000B74FB" w:rsidRPr="000B74FB" w:rsidRDefault="000B74FB" w:rsidP="000B74FB">
      <w:pPr>
        <w:pStyle w:val="ListParagraph"/>
        <w:numPr>
          <w:ilvl w:val="0"/>
          <w:numId w:val="16"/>
        </w:numPr>
        <w:rPr>
          <w:szCs w:val="20"/>
        </w:rPr>
      </w:pPr>
      <w:r w:rsidRPr="000B74FB">
        <w:rPr>
          <w:szCs w:val="20"/>
        </w:rPr>
        <w:t>A valid Social Security number</w:t>
      </w:r>
    </w:p>
    <w:p w14:paraId="6C7B9E04" w14:textId="1C78572F" w:rsidR="000B74FB" w:rsidRPr="000B74FB" w:rsidRDefault="000B74FB" w:rsidP="000B74FB">
      <w:pPr>
        <w:pStyle w:val="ListParagraph"/>
        <w:numPr>
          <w:ilvl w:val="0"/>
          <w:numId w:val="16"/>
        </w:numPr>
        <w:rPr>
          <w:szCs w:val="20"/>
        </w:rPr>
      </w:pPr>
      <w:r w:rsidRPr="000B74FB">
        <w:rPr>
          <w:szCs w:val="20"/>
        </w:rPr>
        <w:t>Proper documentation if your name has changed</w:t>
      </w:r>
    </w:p>
    <w:p w14:paraId="45177213" w14:textId="504BA6EA" w:rsidR="000B74FB" w:rsidRPr="000B74FB" w:rsidRDefault="000B74FB" w:rsidP="000B74FB">
      <w:pPr>
        <w:pStyle w:val="ListParagraph"/>
        <w:numPr>
          <w:ilvl w:val="0"/>
          <w:numId w:val="16"/>
        </w:numPr>
        <w:rPr>
          <w:szCs w:val="20"/>
        </w:rPr>
      </w:pPr>
      <w:r w:rsidRPr="000B74FB">
        <w:rPr>
          <w:szCs w:val="20"/>
        </w:rPr>
        <w:t>Proper payment</w:t>
      </w:r>
    </w:p>
    <w:p w14:paraId="2F80116E" w14:textId="77777777" w:rsidR="000B74FB" w:rsidRPr="000B74FB" w:rsidRDefault="000B74FB" w:rsidP="000B74FB">
      <w:pPr>
        <w:rPr>
          <w:szCs w:val="20"/>
        </w:rPr>
      </w:pPr>
      <w:r w:rsidRPr="000B74FB">
        <w:rPr>
          <w:szCs w:val="20"/>
        </w:rPr>
        <w:t>Check with your state’s DMV for specific requirements. If employees do not have these certified documents, it will take several weeks to obtain them. Employers should make sure any employee who flies domestically for work purposes acts now. An employer does not have to reimburse employees for the costs associated with obtaining an EDL.</w:t>
      </w:r>
    </w:p>
    <w:p w14:paraId="199A1F60" w14:textId="5F296A39" w:rsidR="00033202" w:rsidRDefault="000B74FB" w:rsidP="000B74FB">
      <w:pPr>
        <w:rPr>
          <w:szCs w:val="20"/>
        </w:rPr>
      </w:pPr>
      <w:r w:rsidRPr="000B74FB">
        <w:rPr>
          <w:szCs w:val="20"/>
        </w:rPr>
        <w:t>Source: Katherine Kummerow, HR Advisor</w:t>
      </w:r>
    </w:p>
    <w:p w14:paraId="6779F3D6" w14:textId="77777777" w:rsidR="000B74FB" w:rsidRPr="000B74FB" w:rsidRDefault="000B74FB" w:rsidP="007C2851">
      <w:pPr>
        <w:rPr>
          <w:b/>
          <w:szCs w:val="20"/>
        </w:rPr>
      </w:pPr>
      <w:r w:rsidRPr="000B74FB">
        <w:rPr>
          <w:b/>
          <w:szCs w:val="20"/>
        </w:rPr>
        <w:t>Ask More, Tell Less - Engage!</w:t>
      </w:r>
    </w:p>
    <w:p w14:paraId="3556A354" w14:textId="77777777" w:rsidR="000B74FB" w:rsidRPr="000B74FB" w:rsidRDefault="000B74FB" w:rsidP="000B74FB">
      <w:pPr>
        <w:rPr>
          <w:szCs w:val="20"/>
        </w:rPr>
      </w:pPr>
      <w:r w:rsidRPr="000B74FB">
        <w:rPr>
          <w:szCs w:val="20"/>
        </w:rPr>
        <w:t xml:space="preserve">Do you ever ask your team for their input and suggestions, yet get nothing? </w:t>
      </w:r>
      <w:proofErr w:type="gramStart"/>
      <w:r w:rsidRPr="000B74FB">
        <w:rPr>
          <w:szCs w:val="20"/>
        </w:rPr>
        <w:t>In spite of</w:t>
      </w:r>
      <w:proofErr w:type="gramEnd"/>
      <w:r w:rsidRPr="000B74FB">
        <w:rPr>
          <w:szCs w:val="20"/>
        </w:rPr>
        <w:t xml:space="preserve"> your best intentions, it could have something to do with how you model openness. When an idea, solution, or even complaint comes to you, how curious are you to learn more, to unpack the comment?</w:t>
      </w:r>
    </w:p>
    <w:p w14:paraId="2B5E41E0" w14:textId="028AE378" w:rsidR="000B74FB" w:rsidRPr="000B74FB" w:rsidRDefault="000B74FB" w:rsidP="000B74FB">
      <w:pPr>
        <w:rPr>
          <w:szCs w:val="20"/>
        </w:rPr>
      </w:pPr>
      <w:r w:rsidRPr="000B74FB">
        <w:rPr>
          <w:szCs w:val="20"/>
        </w:rPr>
        <w:t>We live in a culture of “tell” where we are valued for our expertise. To know is king, so we tend to direct others, give advice, and explain things. The problem with too much telling is that it implies that the other person doesn’t know— or ou</w:t>
      </w:r>
      <w:r>
        <w:rPr>
          <w:szCs w:val="20"/>
        </w:rPr>
        <w:t xml:space="preserve">ght to— and can be perceived as </w:t>
      </w:r>
      <w:r w:rsidRPr="000B74FB">
        <w:rPr>
          <w:szCs w:val="20"/>
        </w:rPr>
        <w:t>a put down, often causing the receiver to feel impatient and frustrated, or completely disengaged.</w:t>
      </w:r>
    </w:p>
    <w:p w14:paraId="5A11EF30" w14:textId="77777777" w:rsidR="000B74FB" w:rsidRPr="000B74FB" w:rsidRDefault="000B74FB" w:rsidP="000B74FB">
      <w:pPr>
        <w:rPr>
          <w:szCs w:val="20"/>
        </w:rPr>
      </w:pPr>
      <w:r w:rsidRPr="000B74FB">
        <w:rPr>
          <w:szCs w:val="20"/>
        </w:rPr>
        <w:t>As our organizations grow more complex, learning necessarily becomes omnidirectional and we must learn from one another, regardless of organizational role.</w:t>
      </w:r>
    </w:p>
    <w:p w14:paraId="7D11E2D8" w14:textId="77777777" w:rsidR="000B74FB" w:rsidRPr="000B74FB" w:rsidRDefault="000B74FB" w:rsidP="000B74FB">
      <w:pPr>
        <w:rPr>
          <w:szCs w:val="20"/>
        </w:rPr>
      </w:pPr>
      <w:r w:rsidRPr="000B74FB">
        <w:rPr>
          <w:szCs w:val="20"/>
        </w:rPr>
        <w:t xml:space="preserve">As </w:t>
      </w:r>
      <w:proofErr w:type="gramStart"/>
      <w:r w:rsidRPr="000B74FB">
        <w:rPr>
          <w:szCs w:val="20"/>
        </w:rPr>
        <w:t>leaders</w:t>
      </w:r>
      <w:proofErr w:type="gramEnd"/>
      <w:r w:rsidRPr="000B74FB">
        <w:rPr>
          <w:szCs w:val="20"/>
        </w:rPr>
        <w:t xml:space="preserve"> we may feel we don’t have the time to fully explore the assumptions, ideas, and beliefs that have led our team members to do what they do. In the long run, though, it’s far more efficient to coach than tell, and the secret is in how we ask the questions that lead to development and ultimately, to engagement.</w:t>
      </w:r>
    </w:p>
    <w:p w14:paraId="3AB6B907" w14:textId="3071E289" w:rsidR="000B74FB" w:rsidRPr="000B74FB" w:rsidRDefault="000B74FB" w:rsidP="000B74FB">
      <w:pPr>
        <w:rPr>
          <w:szCs w:val="20"/>
        </w:rPr>
      </w:pPr>
      <w:proofErr w:type="gramStart"/>
      <w:r w:rsidRPr="000B74FB">
        <w:rPr>
          <w:szCs w:val="20"/>
        </w:rPr>
        <w:t>So</w:t>
      </w:r>
      <w:proofErr w:type="gramEnd"/>
      <w:r w:rsidRPr="000B74FB">
        <w:rPr>
          <w:szCs w:val="20"/>
        </w:rPr>
        <w:t xml:space="preserve"> check your questions; are they really advice in disguise, such as: “Have you tried calling the client instead of only emailing him?” Why not ask instead, “If you were in you</w:t>
      </w:r>
      <w:r>
        <w:rPr>
          <w:szCs w:val="20"/>
        </w:rPr>
        <w:t xml:space="preserve">r client’s shoes, what might he </w:t>
      </w:r>
      <w:r w:rsidRPr="000B74FB">
        <w:rPr>
          <w:szCs w:val="20"/>
        </w:rPr>
        <w:t>be expecting?”</w:t>
      </w:r>
    </w:p>
    <w:p w14:paraId="50A10DF9" w14:textId="77777777" w:rsidR="000B74FB" w:rsidRPr="000B74FB" w:rsidRDefault="000B74FB" w:rsidP="000B74FB">
      <w:pPr>
        <w:rPr>
          <w:szCs w:val="20"/>
        </w:rPr>
      </w:pPr>
      <w:r w:rsidRPr="000B74FB">
        <w:rPr>
          <w:szCs w:val="20"/>
        </w:rPr>
        <w:t>It’s through the asking of questions that relationships are built that empower others to take on challenges, face obstacles, and develop strategies that work for them.</w:t>
      </w:r>
    </w:p>
    <w:p w14:paraId="4DA1E073" w14:textId="77777777" w:rsidR="000B74FB" w:rsidRPr="000B74FB" w:rsidRDefault="000B74FB" w:rsidP="000B74FB">
      <w:pPr>
        <w:rPr>
          <w:szCs w:val="20"/>
        </w:rPr>
      </w:pPr>
      <w:r w:rsidRPr="000B74FB">
        <w:rPr>
          <w:szCs w:val="20"/>
        </w:rPr>
        <w:t>Empowerment builds the trust that’s the foundation of strong teams and organizations.</w:t>
      </w:r>
    </w:p>
    <w:p w14:paraId="562C7132" w14:textId="77777777" w:rsidR="000B74FB" w:rsidRPr="000B74FB" w:rsidRDefault="000B74FB" w:rsidP="000B74FB">
      <w:pPr>
        <w:rPr>
          <w:szCs w:val="20"/>
        </w:rPr>
      </w:pPr>
      <w:r w:rsidRPr="000B74FB">
        <w:rPr>
          <w:szCs w:val="20"/>
        </w:rPr>
        <w:t>To encourage team members to speak up and share those things we might not like to hear but need to know, we must change the questions. We must be curious.</w:t>
      </w:r>
    </w:p>
    <w:p w14:paraId="01FF67B4" w14:textId="77777777" w:rsidR="000B74FB" w:rsidRPr="000B74FB" w:rsidRDefault="000B74FB" w:rsidP="000B74FB">
      <w:pPr>
        <w:rPr>
          <w:szCs w:val="20"/>
        </w:rPr>
      </w:pPr>
      <w:r w:rsidRPr="000B74FB">
        <w:rPr>
          <w:szCs w:val="20"/>
        </w:rPr>
        <w:lastRenderedPageBreak/>
        <w:t>The next time the team member you most dread comes to talk with you, take a deep breath and try this:</w:t>
      </w:r>
    </w:p>
    <w:p w14:paraId="3E3A2461" w14:textId="77777777" w:rsidR="000B74FB" w:rsidRPr="000B74FB" w:rsidRDefault="000B74FB" w:rsidP="000B74FB">
      <w:pPr>
        <w:pStyle w:val="ListParagraph"/>
        <w:numPr>
          <w:ilvl w:val="0"/>
          <w:numId w:val="20"/>
        </w:numPr>
        <w:rPr>
          <w:szCs w:val="20"/>
        </w:rPr>
      </w:pPr>
      <w:r w:rsidRPr="000B74FB">
        <w:rPr>
          <w:szCs w:val="20"/>
        </w:rPr>
        <w:t>Ask yourself, what can I learn from her?</w:t>
      </w:r>
    </w:p>
    <w:p w14:paraId="57927BB9" w14:textId="77777777" w:rsidR="000B74FB" w:rsidRPr="000B74FB" w:rsidRDefault="000B74FB" w:rsidP="000B74FB">
      <w:pPr>
        <w:pStyle w:val="ListParagraph"/>
        <w:numPr>
          <w:ilvl w:val="0"/>
          <w:numId w:val="20"/>
        </w:numPr>
        <w:rPr>
          <w:szCs w:val="20"/>
        </w:rPr>
      </w:pPr>
      <w:r w:rsidRPr="000B74FB">
        <w:rPr>
          <w:szCs w:val="20"/>
        </w:rPr>
        <w:t>Ask her with genuine interest, “How is it going?”</w:t>
      </w:r>
    </w:p>
    <w:p w14:paraId="29A15AED" w14:textId="77777777" w:rsidR="000B74FB" w:rsidRPr="000B74FB" w:rsidRDefault="000B74FB" w:rsidP="000B74FB">
      <w:pPr>
        <w:pStyle w:val="ListParagraph"/>
        <w:numPr>
          <w:ilvl w:val="0"/>
          <w:numId w:val="20"/>
        </w:numPr>
        <w:rPr>
          <w:szCs w:val="20"/>
        </w:rPr>
      </w:pPr>
      <w:r w:rsidRPr="000B74FB">
        <w:rPr>
          <w:szCs w:val="20"/>
        </w:rPr>
        <w:t>Then with your full attention, listen to what she is saying and notice her body language. If you are truly listening with a curious mindset, you will know what questions to ask next.</w:t>
      </w:r>
    </w:p>
    <w:p w14:paraId="2E29ED19" w14:textId="77777777" w:rsidR="000B74FB" w:rsidRPr="000B74FB" w:rsidRDefault="000B74FB" w:rsidP="000B74FB">
      <w:pPr>
        <w:rPr>
          <w:szCs w:val="20"/>
        </w:rPr>
      </w:pPr>
      <w:r w:rsidRPr="000B74FB">
        <w:rPr>
          <w:szCs w:val="20"/>
        </w:rPr>
        <w:t xml:space="preserve">With practice, you will find that it gets easier for people to share useful and </w:t>
      </w:r>
      <w:proofErr w:type="gramStart"/>
      <w:r w:rsidRPr="000B74FB">
        <w:rPr>
          <w:szCs w:val="20"/>
        </w:rPr>
        <w:t>important information</w:t>
      </w:r>
      <w:proofErr w:type="gramEnd"/>
      <w:r w:rsidRPr="000B74FB">
        <w:rPr>
          <w:szCs w:val="20"/>
        </w:rPr>
        <w:t xml:space="preserve"> because they feel you care. You will teach them through your behaviors. Then, when you do ask for their input, they’ll have plenty to say.</w:t>
      </w:r>
    </w:p>
    <w:p w14:paraId="0564C4DB" w14:textId="19799800" w:rsidR="007C2851" w:rsidRDefault="000B74FB" w:rsidP="000B74FB">
      <w:pPr>
        <w:rPr>
          <w:szCs w:val="20"/>
        </w:rPr>
      </w:pPr>
      <w:r w:rsidRPr="000B74FB">
        <w:rPr>
          <w:szCs w:val="20"/>
        </w:rPr>
        <w:t>Source: Rose Singer, Sr. Consultant, Leadership &amp; Organization Development at Archbright</w:t>
      </w:r>
    </w:p>
    <w:p w14:paraId="0FE284D8" w14:textId="77777777" w:rsidR="007C2851" w:rsidRDefault="007C2851" w:rsidP="007C2851">
      <w:pPr>
        <w:rPr>
          <w:szCs w:val="20"/>
        </w:rPr>
      </w:pPr>
    </w:p>
    <w:p w14:paraId="48B25C0C" w14:textId="77777777" w:rsidR="00033202" w:rsidRDefault="00033202" w:rsidP="00033202">
      <w:pPr>
        <w:rPr>
          <w:szCs w:val="20"/>
        </w:rPr>
      </w:pPr>
    </w:p>
    <w:p w14:paraId="7D821EB5" w14:textId="77777777" w:rsidR="00033202" w:rsidRDefault="00033202" w:rsidP="00033202">
      <w:pPr>
        <w:rPr>
          <w:szCs w:val="20"/>
        </w:rPr>
        <w:sectPr w:rsidR="00033202" w:rsidSect="005F328F">
          <w:pgSz w:w="12240" w:h="15840" w:code="1"/>
          <w:pgMar w:top="1440" w:right="1440" w:bottom="1296" w:left="1440" w:header="720" w:footer="288" w:gutter="0"/>
          <w:cols w:space="720"/>
          <w:docGrid w:linePitch="360"/>
        </w:sectPr>
      </w:pPr>
    </w:p>
    <w:p w14:paraId="5524A1F1" w14:textId="77777777" w:rsidR="000B74FB" w:rsidRDefault="000B74FB" w:rsidP="00A25468">
      <w:pPr>
        <w:rPr>
          <w:b/>
          <w:szCs w:val="20"/>
        </w:rPr>
      </w:pPr>
      <w:r w:rsidRPr="000B74FB">
        <w:rPr>
          <w:b/>
          <w:szCs w:val="20"/>
        </w:rPr>
        <w:lastRenderedPageBreak/>
        <w:t xml:space="preserve">Summer CoffeeTalks: Catalytic Coaching - </w:t>
      </w:r>
      <w:proofErr w:type="gramStart"/>
      <w:r w:rsidRPr="000B74FB">
        <w:rPr>
          <w:b/>
          <w:szCs w:val="20"/>
        </w:rPr>
        <w:t>A New Approach</w:t>
      </w:r>
      <w:proofErr w:type="gramEnd"/>
      <w:r w:rsidRPr="000B74FB">
        <w:rPr>
          <w:b/>
          <w:szCs w:val="20"/>
        </w:rPr>
        <w:t xml:space="preserve"> to Performance Management</w:t>
      </w:r>
    </w:p>
    <w:p w14:paraId="15EBB3D4" w14:textId="2FDF29E4" w:rsidR="000B74FB" w:rsidRPr="000B74FB" w:rsidRDefault="000B74FB" w:rsidP="000B74FB">
      <w:pPr>
        <w:rPr>
          <w:szCs w:val="20"/>
        </w:rPr>
      </w:pPr>
      <w:r>
        <w:rPr>
          <w:szCs w:val="20"/>
        </w:rPr>
        <w:t>C</w:t>
      </w:r>
      <w:r w:rsidRPr="000B74FB">
        <w:rPr>
          <w:szCs w:val="20"/>
        </w:rPr>
        <w:t>atalytic Coaching fixes what’s broken with the traditional performance review. It focuses on the ongoing conversation between manager and employee, allowing supervisors to stop being a critic or judge and function instead like a coach.</w:t>
      </w:r>
    </w:p>
    <w:p w14:paraId="0E5E76F4" w14:textId="77777777" w:rsidR="000B74FB" w:rsidRPr="000B74FB" w:rsidRDefault="000B74FB" w:rsidP="000B74FB">
      <w:pPr>
        <w:rPr>
          <w:szCs w:val="20"/>
        </w:rPr>
      </w:pPr>
      <w:r w:rsidRPr="000B74FB">
        <w:rPr>
          <w:szCs w:val="20"/>
        </w:rPr>
        <w:t>For more details about these free events and to register, visit Archbright.com.</w:t>
      </w:r>
    </w:p>
    <w:p w14:paraId="59062530" w14:textId="77777777" w:rsidR="000B74FB" w:rsidRPr="000B74FB" w:rsidRDefault="000B74FB" w:rsidP="000B74FB">
      <w:pPr>
        <w:rPr>
          <w:szCs w:val="20"/>
        </w:rPr>
      </w:pPr>
      <w:r w:rsidRPr="000B74FB">
        <w:rPr>
          <w:szCs w:val="20"/>
        </w:rPr>
        <w:t>Spokane | July 12 | 8:30AM to 10:30AM Seattle | August 16 | 8:30AM to 10:30AM</w:t>
      </w:r>
    </w:p>
    <w:p w14:paraId="5BCD8544" w14:textId="601087AD" w:rsidR="000B74FB" w:rsidRPr="000B74FB" w:rsidRDefault="000B74FB" w:rsidP="000B74FB">
      <w:pPr>
        <w:rPr>
          <w:szCs w:val="20"/>
        </w:rPr>
      </w:pPr>
      <w:r>
        <w:rPr>
          <w:szCs w:val="20"/>
        </w:rPr>
        <w:t xml:space="preserve">We </w:t>
      </w:r>
      <w:r w:rsidRPr="000B74FB">
        <w:rPr>
          <w:szCs w:val="20"/>
        </w:rPr>
        <w:t>hope to see you there!</w:t>
      </w:r>
    </w:p>
    <w:p w14:paraId="17B81238" w14:textId="767E71F1" w:rsidR="00A25468" w:rsidRDefault="000B74FB" w:rsidP="000B74FB">
      <w:pPr>
        <w:rPr>
          <w:b/>
          <w:szCs w:val="20"/>
        </w:rPr>
      </w:pPr>
      <w:r w:rsidRPr="000B74FB">
        <w:rPr>
          <w:szCs w:val="20"/>
        </w:rPr>
        <w:t xml:space="preserve">Catalytic Coaching is a product of </w:t>
      </w:r>
      <w:proofErr w:type="spellStart"/>
      <w:r w:rsidRPr="000B74FB">
        <w:rPr>
          <w:szCs w:val="20"/>
        </w:rPr>
        <w:t>Energage</w:t>
      </w:r>
      <w:proofErr w:type="spellEnd"/>
      <w:r w:rsidRPr="000B74FB">
        <w:rPr>
          <w:szCs w:val="20"/>
        </w:rPr>
        <w:t xml:space="preserve">, part of the </w:t>
      </w:r>
      <w:proofErr w:type="spellStart"/>
      <w:r w:rsidRPr="000B74FB">
        <w:rPr>
          <w:szCs w:val="20"/>
        </w:rPr>
        <w:t>WorkplaceDynamics</w:t>
      </w:r>
      <w:proofErr w:type="spellEnd"/>
      <w:r w:rsidRPr="000B74FB">
        <w:rPr>
          <w:szCs w:val="20"/>
        </w:rPr>
        <w:t xml:space="preserve"> family.</w:t>
      </w:r>
    </w:p>
    <w:p w14:paraId="32CCE06D" w14:textId="77777777" w:rsidR="00A25468" w:rsidRDefault="00A25468" w:rsidP="007D296E">
      <w:pPr>
        <w:rPr>
          <w:b/>
          <w:szCs w:val="20"/>
        </w:rPr>
        <w:sectPr w:rsidR="00A25468" w:rsidSect="005F328F">
          <w:pgSz w:w="12240" w:h="15840" w:code="1"/>
          <w:pgMar w:top="1440" w:right="1440" w:bottom="1296" w:left="1440" w:header="720" w:footer="288" w:gutter="0"/>
          <w:cols w:space="720"/>
          <w:docGrid w:linePitch="360"/>
        </w:sectPr>
      </w:pPr>
    </w:p>
    <w:p w14:paraId="1748867B" w14:textId="77777777" w:rsidR="00156D1F" w:rsidRDefault="00156D1F" w:rsidP="00A25468">
      <w:pPr>
        <w:pStyle w:val="BodyText"/>
        <w:spacing w:before="66"/>
        <w:ind w:left="0"/>
        <w:rPr>
          <w:rFonts w:ascii="Verdana" w:eastAsiaTheme="minorHAnsi" w:hAnsi="Verdana"/>
          <w:b/>
        </w:rPr>
      </w:pPr>
      <w:r w:rsidRPr="00156D1F">
        <w:rPr>
          <w:rFonts w:ascii="Verdana" w:eastAsiaTheme="minorHAnsi" w:hAnsi="Verdana"/>
          <w:b/>
        </w:rPr>
        <w:lastRenderedPageBreak/>
        <w:t>Heat Illness - Know the Signs and Dangers</w:t>
      </w:r>
    </w:p>
    <w:p w14:paraId="63F9A7C9" w14:textId="77777777" w:rsidR="00156D1F" w:rsidRDefault="00156D1F" w:rsidP="00A25468">
      <w:pPr>
        <w:pStyle w:val="BodyText"/>
        <w:spacing w:before="66"/>
        <w:ind w:left="0"/>
        <w:rPr>
          <w:rFonts w:ascii="Verdana" w:eastAsiaTheme="minorHAnsi" w:hAnsi="Verdana"/>
          <w:b/>
        </w:rPr>
      </w:pPr>
    </w:p>
    <w:p w14:paraId="74CBD4B3" w14:textId="4B591E83" w:rsidR="00A25468" w:rsidRDefault="00156D1F" w:rsidP="00A25468">
      <w:pPr>
        <w:pStyle w:val="BodyText"/>
        <w:spacing w:before="66"/>
        <w:ind w:left="0"/>
        <w:rPr>
          <w:rFonts w:ascii="Verdana" w:eastAsiaTheme="minorHAnsi" w:hAnsi="Verdana"/>
        </w:rPr>
      </w:pPr>
      <w:r w:rsidRPr="00156D1F">
        <w:rPr>
          <w:rFonts w:ascii="Verdana" w:eastAsiaTheme="minorHAnsi" w:hAnsi="Verdana"/>
        </w:rPr>
        <w:t>Every summer, thousands of workers spend long days working in the hot sun. And every year without fail, many die or become ill due to heat exposure. Employees need to know how to recognize the dangers of heat stress not only in themselves, but in their co-workers, too</w:t>
      </w:r>
      <w:r>
        <w:rPr>
          <w:rFonts w:ascii="Verdana" w:eastAsiaTheme="minorHAnsi" w:hAnsi="Verdana"/>
        </w:rPr>
        <w:t>.</w:t>
      </w:r>
    </w:p>
    <w:tbl>
      <w:tblPr>
        <w:tblW w:w="0" w:type="auto"/>
        <w:tblBorders>
          <w:top w:val="single" w:sz="8" w:space="0" w:color="5F6062"/>
          <w:left w:val="single" w:sz="8" w:space="0" w:color="5F6062"/>
          <w:bottom w:val="single" w:sz="8" w:space="0" w:color="5F6062"/>
          <w:right w:val="single" w:sz="8" w:space="0" w:color="5F6062"/>
          <w:insideH w:val="single" w:sz="8" w:space="0" w:color="5F6062"/>
          <w:insideV w:val="single" w:sz="8" w:space="0" w:color="5F6062"/>
        </w:tblBorders>
        <w:tblLayout w:type="fixed"/>
        <w:tblCellMar>
          <w:left w:w="0" w:type="dxa"/>
          <w:right w:w="0" w:type="dxa"/>
        </w:tblCellMar>
        <w:tblLook w:val="01E0" w:firstRow="1" w:lastRow="1" w:firstColumn="1" w:lastColumn="1" w:noHBand="0" w:noVBand="0"/>
      </w:tblPr>
      <w:tblGrid>
        <w:gridCol w:w="1192"/>
        <w:gridCol w:w="1354"/>
        <w:gridCol w:w="1499"/>
        <w:gridCol w:w="1602"/>
        <w:gridCol w:w="1569"/>
      </w:tblGrid>
      <w:tr w:rsidR="00156D1F" w14:paraId="760AB4F4" w14:textId="77777777" w:rsidTr="00FE3166">
        <w:trPr>
          <w:trHeight w:val="320"/>
        </w:trPr>
        <w:tc>
          <w:tcPr>
            <w:tcW w:w="7215" w:type="dxa"/>
            <w:gridSpan w:val="5"/>
            <w:tcBorders>
              <w:top w:val="nil"/>
              <w:left w:val="nil"/>
              <w:bottom w:val="nil"/>
              <w:right w:val="nil"/>
            </w:tcBorders>
            <w:shd w:val="clear" w:color="auto" w:fill="5F6062"/>
          </w:tcPr>
          <w:p w14:paraId="19D75CAA" w14:textId="77777777" w:rsidR="00156D1F" w:rsidRDefault="00156D1F" w:rsidP="00FE3166">
            <w:pPr>
              <w:pStyle w:val="TableParagraph"/>
              <w:spacing w:before="46"/>
              <w:ind w:left="80"/>
              <w:rPr>
                <w:rFonts w:ascii="Whitney Bold"/>
                <w:b/>
                <w:sz w:val="21"/>
              </w:rPr>
            </w:pPr>
            <w:r>
              <w:rPr>
                <w:rFonts w:ascii="Whitney Bold"/>
                <w:b/>
                <w:color w:val="FFFFFF"/>
                <w:w w:val="95"/>
                <w:sz w:val="21"/>
              </w:rPr>
              <w:t>What are the signs and dangers of heat stress?</w:t>
            </w:r>
          </w:p>
        </w:tc>
      </w:tr>
      <w:tr w:rsidR="00156D1F" w14:paraId="1F867842" w14:textId="77777777" w:rsidTr="00FE3166">
        <w:trPr>
          <w:trHeight w:val="460"/>
        </w:trPr>
        <w:tc>
          <w:tcPr>
            <w:tcW w:w="1192" w:type="dxa"/>
          </w:tcPr>
          <w:p w14:paraId="13CCF49F" w14:textId="77777777" w:rsidR="00156D1F" w:rsidRDefault="00156D1F" w:rsidP="00FE3166">
            <w:pPr>
              <w:pStyle w:val="TableParagraph"/>
              <w:rPr>
                <w:rFonts w:ascii="Times New Roman"/>
                <w:sz w:val="18"/>
              </w:rPr>
            </w:pPr>
          </w:p>
        </w:tc>
        <w:tc>
          <w:tcPr>
            <w:tcW w:w="1354" w:type="dxa"/>
            <w:shd w:val="clear" w:color="auto" w:fill="009DDC"/>
          </w:tcPr>
          <w:p w14:paraId="38D13488" w14:textId="77777777" w:rsidR="00156D1F" w:rsidRDefault="00156D1F" w:rsidP="00FE3166">
            <w:pPr>
              <w:pStyle w:val="TableParagraph"/>
              <w:spacing w:before="131"/>
              <w:rPr>
                <w:rFonts w:ascii="Whitney Semibold"/>
                <w:sz w:val="18"/>
              </w:rPr>
            </w:pPr>
            <w:r>
              <w:rPr>
                <w:rFonts w:ascii="Whitney Semibold"/>
                <w:color w:val="FFFFFF"/>
                <w:sz w:val="18"/>
              </w:rPr>
              <w:t>Heat Cramps</w:t>
            </w:r>
          </w:p>
        </w:tc>
        <w:tc>
          <w:tcPr>
            <w:tcW w:w="1499" w:type="dxa"/>
            <w:shd w:val="clear" w:color="auto" w:fill="009DDC"/>
          </w:tcPr>
          <w:p w14:paraId="4CD904CC" w14:textId="77777777" w:rsidR="00156D1F" w:rsidRDefault="00156D1F" w:rsidP="00FE3166">
            <w:pPr>
              <w:pStyle w:val="TableParagraph"/>
              <w:spacing w:before="78" w:line="199" w:lineRule="auto"/>
              <w:rPr>
                <w:rFonts w:ascii="Whitney Semibold"/>
                <w:sz w:val="18"/>
              </w:rPr>
            </w:pPr>
            <w:r>
              <w:rPr>
                <w:rFonts w:ascii="Whitney Semibold"/>
                <w:color w:val="FFFFFF"/>
                <w:sz w:val="18"/>
              </w:rPr>
              <w:t>Heat Syncope (Fainting)</w:t>
            </w:r>
          </w:p>
        </w:tc>
        <w:tc>
          <w:tcPr>
            <w:tcW w:w="1602" w:type="dxa"/>
            <w:shd w:val="clear" w:color="auto" w:fill="009DDC"/>
          </w:tcPr>
          <w:p w14:paraId="3C99D336" w14:textId="77777777" w:rsidR="00156D1F" w:rsidRDefault="00156D1F" w:rsidP="00FE3166">
            <w:pPr>
              <w:pStyle w:val="TableParagraph"/>
              <w:spacing w:before="131"/>
              <w:rPr>
                <w:rFonts w:ascii="Whitney Semibold"/>
                <w:sz w:val="18"/>
              </w:rPr>
            </w:pPr>
            <w:r>
              <w:rPr>
                <w:rFonts w:ascii="Whitney Semibold"/>
                <w:color w:val="FFFFFF"/>
                <w:sz w:val="18"/>
              </w:rPr>
              <w:t>Heat Exhaustion</w:t>
            </w:r>
          </w:p>
        </w:tc>
        <w:tc>
          <w:tcPr>
            <w:tcW w:w="1569" w:type="dxa"/>
            <w:shd w:val="clear" w:color="auto" w:fill="009DDC"/>
          </w:tcPr>
          <w:p w14:paraId="744894EF" w14:textId="77777777" w:rsidR="00156D1F" w:rsidRDefault="00156D1F" w:rsidP="00FE3166">
            <w:pPr>
              <w:pStyle w:val="TableParagraph"/>
              <w:spacing w:before="131"/>
              <w:ind w:left="69"/>
              <w:rPr>
                <w:rFonts w:ascii="Whitney Semibold"/>
                <w:sz w:val="18"/>
              </w:rPr>
            </w:pPr>
            <w:r>
              <w:rPr>
                <w:rFonts w:ascii="Whitney Semibold"/>
                <w:color w:val="FFFFFF"/>
                <w:sz w:val="18"/>
              </w:rPr>
              <w:t>Heat Stroke</w:t>
            </w:r>
          </w:p>
        </w:tc>
      </w:tr>
      <w:tr w:rsidR="00156D1F" w14:paraId="5E4A59D3" w14:textId="77777777" w:rsidTr="00FE3166">
        <w:trPr>
          <w:trHeight w:val="340"/>
        </w:trPr>
        <w:tc>
          <w:tcPr>
            <w:tcW w:w="1192" w:type="dxa"/>
            <w:tcBorders>
              <w:bottom w:val="nil"/>
            </w:tcBorders>
            <w:shd w:val="clear" w:color="auto" w:fill="6CB33F"/>
          </w:tcPr>
          <w:p w14:paraId="04C030F4" w14:textId="77777777" w:rsidR="00156D1F" w:rsidRDefault="00156D1F" w:rsidP="00FE3166">
            <w:pPr>
              <w:pStyle w:val="TableParagraph"/>
              <w:spacing w:before="41"/>
              <w:rPr>
                <w:rFonts w:ascii="Whitney Semibold"/>
                <w:sz w:val="18"/>
              </w:rPr>
            </w:pPr>
            <w:r>
              <w:rPr>
                <w:rFonts w:ascii="Whitney Semibold"/>
                <w:color w:val="FFFFFF"/>
                <w:sz w:val="18"/>
              </w:rPr>
              <w:t>Description</w:t>
            </w:r>
          </w:p>
        </w:tc>
        <w:tc>
          <w:tcPr>
            <w:tcW w:w="1354" w:type="dxa"/>
            <w:tcBorders>
              <w:bottom w:val="nil"/>
            </w:tcBorders>
          </w:tcPr>
          <w:p w14:paraId="5C22C439" w14:textId="77777777" w:rsidR="00156D1F" w:rsidRDefault="00156D1F" w:rsidP="00FE3166">
            <w:pPr>
              <w:pStyle w:val="TableParagraph"/>
              <w:spacing w:before="44" w:line="166" w:lineRule="exact"/>
              <w:rPr>
                <w:sz w:val="16"/>
              </w:rPr>
            </w:pPr>
            <w:r>
              <w:rPr>
                <w:color w:val="5F6062"/>
                <w:sz w:val="16"/>
              </w:rPr>
              <w:t>A temporary fluid</w:t>
            </w:r>
          </w:p>
          <w:p w14:paraId="3CCEB8C4" w14:textId="77777777" w:rsidR="00156D1F" w:rsidRDefault="00156D1F" w:rsidP="00FE3166">
            <w:pPr>
              <w:pStyle w:val="TableParagraph"/>
              <w:spacing w:line="118" w:lineRule="exact"/>
              <w:rPr>
                <w:sz w:val="16"/>
              </w:rPr>
            </w:pPr>
            <w:r>
              <w:rPr>
                <w:color w:val="5F6062"/>
                <w:sz w:val="16"/>
              </w:rPr>
              <w:t>and electrolyte</w:t>
            </w:r>
          </w:p>
        </w:tc>
        <w:tc>
          <w:tcPr>
            <w:tcW w:w="1499" w:type="dxa"/>
            <w:tcBorders>
              <w:bottom w:val="nil"/>
            </w:tcBorders>
          </w:tcPr>
          <w:p w14:paraId="61930CEB" w14:textId="77777777" w:rsidR="00156D1F" w:rsidRDefault="00156D1F" w:rsidP="00FE3166">
            <w:pPr>
              <w:pStyle w:val="TableParagraph"/>
              <w:spacing w:before="44" w:line="166" w:lineRule="exact"/>
              <w:rPr>
                <w:sz w:val="16"/>
              </w:rPr>
            </w:pPr>
            <w:r>
              <w:rPr>
                <w:color w:val="5F6062"/>
                <w:sz w:val="16"/>
              </w:rPr>
              <w:t>Pooling of the</w:t>
            </w:r>
          </w:p>
          <w:p w14:paraId="61638BC7" w14:textId="77777777" w:rsidR="00156D1F" w:rsidRDefault="00156D1F" w:rsidP="00FE3166">
            <w:pPr>
              <w:pStyle w:val="TableParagraph"/>
              <w:spacing w:line="118" w:lineRule="exact"/>
              <w:rPr>
                <w:sz w:val="16"/>
              </w:rPr>
            </w:pPr>
            <w:r>
              <w:rPr>
                <w:color w:val="5F6062"/>
                <w:sz w:val="16"/>
              </w:rPr>
              <w:t>blood in the lower</w:t>
            </w:r>
          </w:p>
        </w:tc>
        <w:tc>
          <w:tcPr>
            <w:tcW w:w="1602" w:type="dxa"/>
            <w:tcBorders>
              <w:bottom w:val="nil"/>
            </w:tcBorders>
          </w:tcPr>
          <w:p w14:paraId="42F64D86" w14:textId="77777777" w:rsidR="00156D1F" w:rsidRDefault="00156D1F" w:rsidP="00FE3166">
            <w:pPr>
              <w:pStyle w:val="TableParagraph"/>
              <w:spacing w:before="44" w:line="166" w:lineRule="exact"/>
              <w:rPr>
                <w:sz w:val="16"/>
              </w:rPr>
            </w:pPr>
            <w:r>
              <w:rPr>
                <w:color w:val="5F6062"/>
                <w:sz w:val="16"/>
              </w:rPr>
              <w:t>A reduction of body</w:t>
            </w:r>
          </w:p>
          <w:p w14:paraId="7E08EDA9" w14:textId="77777777" w:rsidR="00156D1F" w:rsidRDefault="00156D1F" w:rsidP="00FE3166">
            <w:pPr>
              <w:pStyle w:val="TableParagraph"/>
              <w:spacing w:line="118" w:lineRule="exact"/>
              <w:rPr>
                <w:sz w:val="16"/>
              </w:rPr>
            </w:pPr>
            <w:r>
              <w:rPr>
                <w:color w:val="5F6062"/>
                <w:sz w:val="16"/>
              </w:rPr>
              <w:t>water con- tent or</w:t>
            </w:r>
          </w:p>
        </w:tc>
        <w:tc>
          <w:tcPr>
            <w:tcW w:w="1569" w:type="dxa"/>
            <w:tcBorders>
              <w:bottom w:val="nil"/>
            </w:tcBorders>
          </w:tcPr>
          <w:p w14:paraId="37926062" w14:textId="77777777" w:rsidR="00156D1F" w:rsidRDefault="00156D1F" w:rsidP="00FE3166">
            <w:pPr>
              <w:pStyle w:val="TableParagraph"/>
              <w:spacing w:before="44" w:line="166" w:lineRule="exact"/>
              <w:rPr>
                <w:sz w:val="16"/>
              </w:rPr>
            </w:pPr>
            <w:r>
              <w:rPr>
                <w:color w:val="5F6062"/>
                <w:sz w:val="16"/>
              </w:rPr>
              <w:t>Body fails to regulate</w:t>
            </w:r>
          </w:p>
          <w:p w14:paraId="05887056" w14:textId="77777777" w:rsidR="00156D1F" w:rsidRDefault="00156D1F" w:rsidP="00FE3166">
            <w:pPr>
              <w:pStyle w:val="TableParagraph"/>
              <w:spacing w:line="118" w:lineRule="exact"/>
              <w:rPr>
                <w:sz w:val="16"/>
              </w:rPr>
            </w:pPr>
            <w:r>
              <w:rPr>
                <w:color w:val="5F6062"/>
                <w:sz w:val="16"/>
              </w:rPr>
              <w:t>core temperature.</w:t>
            </w:r>
          </w:p>
        </w:tc>
      </w:tr>
      <w:tr w:rsidR="00156D1F" w14:paraId="31CCD79A" w14:textId="77777777" w:rsidTr="00FE3166">
        <w:trPr>
          <w:trHeight w:val="140"/>
        </w:trPr>
        <w:tc>
          <w:tcPr>
            <w:tcW w:w="1192" w:type="dxa"/>
            <w:tcBorders>
              <w:top w:val="nil"/>
              <w:bottom w:val="nil"/>
            </w:tcBorders>
            <w:shd w:val="clear" w:color="auto" w:fill="6CB33F"/>
          </w:tcPr>
          <w:p w14:paraId="6564D189" w14:textId="77777777" w:rsidR="00156D1F" w:rsidRDefault="00156D1F" w:rsidP="00FE3166">
            <w:pPr>
              <w:pStyle w:val="TableParagraph"/>
              <w:rPr>
                <w:rFonts w:ascii="Times New Roman"/>
                <w:sz w:val="8"/>
              </w:rPr>
            </w:pPr>
          </w:p>
        </w:tc>
        <w:tc>
          <w:tcPr>
            <w:tcW w:w="1354" w:type="dxa"/>
            <w:tcBorders>
              <w:top w:val="nil"/>
              <w:bottom w:val="nil"/>
            </w:tcBorders>
          </w:tcPr>
          <w:p w14:paraId="67C76576" w14:textId="77777777" w:rsidR="00156D1F" w:rsidRDefault="00156D1F" w:rsidP="00FE3166">
            <w:pPr>
              <w:pStyle w:val="TableParagraph"/>
              <w:rPr>
                <w:sz w:val="16"/>
              </w:rPr>
            </w:pPr>
            <w:r>
              <w:rPr>
                <w:color w:val="5F6062"/>
                <w:sz w:val="16"/>
              </w:rPr>
              <w:t>imbalance (salt</w:t>
            </w:r>
          </w:p>
        </w:tc>
        <w:tc>
          <w:tcPr>
            <w:tcW w:w="1499" w:type="dxa"/>
            <w:tcBorders>
              <w:top w:val="nil"/>
              <w:bottom w:val="nil"/>
            </w:tcBorders>
          </w:tcPr>
          <w:p w14:paraId="678C40E6" w14:textId="77777777" w:rsidR="00156D1F" w:rsidRDefault="00156D1F" w:rsidP="00FE3166">
            <w:pPr>
              <w:pStyle w:val="TableParagraph"/>
              <w:rPr>
                <w:sz w:val="16"/>
              </w:rPr>
            </w:pPr>
            <w:r>
              <w:rPr>
                <w:color w:val="5F6062"/>
                <w:sz w:val="16"/>
              </w:rPr>
              <w:t>extremities in</w:t>
            </w:r>
          </w:p>
        </w:tc>
        <w:tc>
          <w:tcPr>
            <w:tcW w:w="1602" w:type="dxa"/>
            <w:tcBorders>
              <w:top w:val="nil"/>
              <w:bottom w:val="nil"/>
            </w:tcBorders>
          </w:tcPr>
          <w:p w14:paraId="0AA29A04" w14:textId="77777777" w:rsidR="00156D1F" w:rsidRDefault="00156D1F" w:rsidP="00FE3166">
            <w:pPr>
              <w:pStyle w:val="TableParagraph"/>
              <w:rPr>
                <w:sz w:val="16"/>
              </w:rPr>
            </w:pPr>
            <w:r>
              <w:rPr>
                <w:color w:val="5F6062"/>
                <w:sz w:val="16"/>
              </w:rPr>
              <w:t>blood volume. Occurs</w:t>
            </w:r>
          </w:p>
        </w:tc>
        <w:tc>
          <w:tcPr>
            <w:tcW w:w="1569" w:type="dxa"/>
            <w:tcBorders>
              <w:top w:val="nil"/>
              <w:bottom w:val="nil"/>
            </w:tcBorders>
          </w:tcPr>
          <w:p w14:paraId="1AFB327E" w14:textId="77777777" w:rsidR="00156D1F" w:rsidRDefault="00156D1F" w:rsidP="00FE3166">
            <w:pPr>
              <w:pStyle w:val="TableParagraph"/>
              <w:rPr>
                <w:sz w:val="16"/>
              </w:rPr>
            </w:pPr>
            <w:r>
              <w:rPr>
                <w:color w:val="5F6062"/>
                <w:sz w:val="16"/>
              </w:rPr>
              <w:t>Sweating slows or</w:t>
            </w:r>
          </w:p>
        </w:tc>
      </w:tr>
      <w:tr w:rsidR="00156D1F" w14:paraId="01CDA7B3" w14:textId="77777777" w:rsidTr="00FE3166">
        <w:trPr>
          <w:trHeight w:val="140"/>
        </w:trPr>
        <w:tc>
          <w:tcPr>
            <w:tcW w:w="1192" w:type="dxa"/>
            <w:tcBorders>
              <w:top w:val="nil"/>
              <w:bottom w:val="nil"/>
            </w:tcBorders>
            <w:shd w:val="clear" w:color="auto" w:fill="6CB33F"/>
          </w:tcPr>
          <w:p w14:paraId="1A7801E5" w14:textId="77777777" w:rsidR="00156D1F" w:rsidRDefault="00156D1F" w:rsidP="00FE3166">
            <w:pPr>
              <w:pStyle w:val="TableParagraph"/>
              <w:rPr>
                <w:rFonts w:ascii="Times New Roman"/>
                <w:sz w:val="8"/>
              </w:rPr>
            </w:pPr>
          </w:p>
        </w:tc>
        <w:tc>
          <w:tcPr>
            <w:tcW w:w="1354" w:type="dxa"/>
            <w:tcBorders>
              <w:top w:val="nil"/>
              <w:bottom w:val="nil"/>
            </w:tcBorders>
          </w:tcPr>
          <w:p w14:paraId="08ED6498" w14:textId="77777777" w:rsidR="00156D1F" w:rsidRDefault="00156D1F" w:rsidP="00FE3166">
            <w:pPr>
              <w:pStyle w:val="TableParagraph"/>
              <w:rPr>
                <w:sz w:val="16"/>
              </w:rPr>
            </w:pPr>
            <w:r>
              <w:rPr>
                <w:color w:val="5F6062"/>
                <w:sz w:val="16"/>
              </w:rPr>
              <w:t>depletion in</w:t>
            </w:r>
          </w:p>
        </w:tc>
        <w:tc>
          <w:tcPr>
            <w:tcW w:w="1499" w:type="dxa"/>
            <w:tcBorders>
              <w:top w:val="nil"/>
              <w:bottom w:val="nil"/>
            </w:tcBorders>
          </w:tcPr>
          <w:p w14:paraId="1638C9C1" w14:textId="77777777" w:rsidR="00156D1F" w:rsidRDefault="00156D1F" w:rsidP="00FE3166">
            <w:pPr>
              <w:pStyle w:val="TableParagraph"/>
              <w:rPr>
                <w:sz w:val="16"/>
              </w:rPr>
            </w:pPr>
            <w:r>
              <w:rPr>
                <w:color w:val="5F6062"/>
                <w:sz w:val="16"/>
              </w:rPr>
              <w:t>unacclimated</w:t>
            </w:r>
          </w:p>
        </w:tc>
        <w:tc>
          <w:tcPr>
            <w:tcW w:w="1602" w:type="dxa"/>
            <w:tcBorders>
              <w:top w:val="nil"/>
              <w:bottom w:val="nil"/>
            </w:tcBorders>
          </w:tcPr>
          <w:p w14:paraId="1BA09CE0" w14:textId="77777777" w:rsidR="00156D1F" w:rsidRDefault="00156D1F" w:rsidP="00FE3166">
            <w:pPr>
              <w:pStyle w:val="TableParagraph"/>
              <w:rPr>
                <w:sz w:val="16"/>
              </w:rPr>
            </w:pPr>
            <w:r>
              <w:rPr>
                <w:color w:val="5F6062"/>
                <w:sz w:val="16"/>
              </w:rPr>
              <w:t>when the amount of</w:t>
            </w:r>
          </w:p>
        </w:tc>
        <w:tc>
          <w:tcPr>
            <w:tcW w:w="1569" w:type="dxa"/>
            <w:tcBorders>
              <w:top w:val="nil"/>
              <w:bottom w:val="nil"/>
            </w:tcBorders>
          </w:tcPr>
          <w:p w14:paraId="7BAEF3D8" w14:textId="77777777" w:rsidR="00156D1F" w:rsidRDefault="00156D1F" w:rsidP="00FE3166">
            <w:pPr>
              <w:pStyle w:val="TableParagraph"/>
              <w:rPr>
                <w:sz w:val="16"/>
              </w:rPr>
            </w:pPr>
            <w:r>
              <w:rPr>
                <w:color w:val="5F6062"/>
                <w:sz w:val="16"/>
              </w:rPr>
              <w:t>stops completely</w:t>
            </w:r>
          </w:p>
        </w:tc>
      </w:tr>
      <w:tr w:rsidR="00156D1F" w14:paraId="1260EE47" w14:textId="77777777" w:rsidTr="00FE3166">
        <w:trPr>
          <w:trHeight w:val="140"/>
        </w:trPr>
        <w:tc>
          <w:tcPr>
            <w:tcW w:w="1192" w:type="dxa"/>
            <w:tcBorders>
              <w:top w:val="nil"/>
              <w:bottom w:val="nil"/>
            </w:tcBorders>
            <w:shd w:val="clear" w:color="auto" w:fill="6CB33F"/>
          </w:tcPr>
          <w:p w14:paraId="49A725D0" w14:textId="77777777" w:rsidR="00156D1F" w:rsidRDefault="00156D1F" w:rsidP="00FE3166">
            <w:pPr>
              <w:pStyle w:val="TableParagraph"/>
              <w:rPr>
                <w:rFonts w:ascii="Times New Roman"/>
                <w:sz w:val="8"/>
              </w:rPr>
            </w:pPr>
          </w:p>
        </w:tc>
        <w:tc>
          <w:tcPr>
            <w:tcW w:w="1354" w:type="dxa"/>
            <w:tcBorders>
              <w:top w:val="nil"/>
              <w:bottom w:val="nil"/>
            </w:tcBorders>
          </w:tcPr>
          <w:p w14:paraId="2C6287B7" w14:textId="77777777" w:rsidR="00156D1F" w:rsidRDefault="00156D1F" w:rsidP="00FE3166">
            <w:pPr>
              <w:pStyle w:val="TableParagraph"/>
              <w:rPr>
                <w:sz w:val="16"/>
              </w:rPr>
            </w:pPr>
            <w:r>
              <w:rPr>
                <w:color w:val="5F6062"/>
                <w:sz w:val="16"/>
              </w:rPr>
              <w:t>conditions of</w:t>
            </w:r>
          </w:p>
        </w:tc>
        <w:tc>
          <w:tcPr>
            <w:tcW w:w="1499" w:type="dxa"/>
            <w:tcBorders>
              <w:top w:val="nil"/>
              <w:bottom w:val="nil"/>
            </w:tcBorders>
          </w:tcPr>
          <w:p w14:paraId="5AFD3838" w14:textId="77777777" w:rsidR="00156D1F" w:rsidRDefault="00156D1F" w:rsidP="00FE3166">
            <w:pPr>
              <w:pStyle w:val="TableParagraph"/>
              <w:rPr>
                <w:sz w:val="16"/>
              </w:rPr>
            </w:pPr>
            <w:r>
              <w:rPr>
                <w:color w:val="5F6062"/>
                <w:sz w:val="16"/>
              </w:rPr>
              <w:t>workers who are</w:t>
            </w:r>
          </w:p>
        </w:tc>
        <w:tc>
          <w:tcPr>
            <w:tcW w:w="1602" w:type="dxa"/>
            <w:tcBorders>
              <w:top w:val="nil"/>
              <w:bottom w:val="nil"/>
            </w:tcBorders>
          </w:tcPr>
          <w:p w14:paraId="3F6293C9" w14:textId="77777777" w:rsidR="00156D1F" w:rsidRDefault="00156D1F" w:rsidP="00FE3166">
            <w:pPr>
              <w:pStyle w:val="TableParagraph"/>
              <w:rPr>
                <w:sz w:val="16"/>
              </w:rPr>
            </w:pPr>
            <w:r>
              <w:rPr>
                <w:color w:val="5F6062"/>
                <w:sz w:val="16"/>
              </w:rPr>
              <w:t>water lost (sweat)</w:t>
            </w:r>
          </w:p>
        </w:tc>
        <w:tc>
          <w:tcPr>
            <w:tcW w:w="1569" w:type="dxa"/>
            <w:tcBorders>
              <w:top w:val="nil"/>
              <w:bottom w:val="nil"/>
            </w:tcBorders>
          </w:tcPr>
          <w:p w14:paraId="43CC5EE2" w14:textId="77777777" w:rsidR="00156D1F" w:rsidRDefault="00156D1F" w:rsidP="00FE3166">
            <w:pPr>
              <w:pStyle w:val="TableParagraph"/>
              <w:rPr>
                <w:sz w:val="16"/>
              </w:rPr>
            </w:pPr>
            <w:r>
              <w:rPr>
                <w:color w:val="5F6062"/>
                <w:sz w:val="16"/>
              </w:rPr>
              <w:t>preventing the body</w:t>
            </w:r>
          </w:p>
        </w:tc>
      </w:tr>
      <w:tr w:rsidR="00156D1F" w14:paraId="3209FA3C" w14:textId="77777777" w:rsidTr="00FE3166">
        <w:trPr>
          <w:trHeight w:val="140"/>
        </w:trPr>
        <w:tc>
          <w:tcPr>
            <w:tcW w:w="1192" w:type="dxa"/>
            <w:tcBorders>
              <w:top w:val="nil"/>
              <w:bottom w:val="nil"/>
            </w:tcBorders>
            <w:shd w:val="clear" w:color="auto" w:fill="6CB33F"/>
          </w:tcPr>
          <w:p w14:paraId="2BA1DC08" w14:textId="77777777" w:rsidR="00156D1F" w:rsidRDefault="00156D1F" w:rsidP="00FE3166">
            <w:pPr>
              <w:pStyle w:val="TableParagraph"/>
              <w:rPr>
                <w:rFonts w:ascii="Times New Roman"/>
                <w:sz w:val="8"/>
              </w:rPr>
            </w:pPr>
          </w:p>
        </w:tc>
        <w:tc>
          <w:tcPr>
            <w:tcW w:w="1354" w:type="dxa"/>
            <w:tcBorders>
              <w:top w:val="nil"/>
              <w:bottom w:val="nil"/>
            </w:tcBorders>
          </w:tcPr>
          <w:p w14:paraId="7B82E842" w14:textId="77777777" w:rsidR="00156D1F" w:rsidRDefault="00156D1F" w:rsidP="00FE3166">
            <w:pPr>
              <w:pStyle w:val="TableParagraph"/>
              <w:rPr>
                <w:sz w:val="16"/>
              </w:rPr>
            </w:pPr>
            <w:r>
              <w:rPr>
                <w:color w:val="5F6062"/>
                <w:sz w:val="16"/>
              </w:rPr>
              <w:t>heavy physical</w:t>
            </w:r>
          </w:p>
        </w:tc>
        <w:tc>
          <w:tcPr>
            <w:tcW w:w="1499" w:type="dxa"/>
            <w:tcBorders>
              <w:top w:val="nil"/>
              <w:bottom w:val="nil"/>
            </w:tcBorders>
          </w:tcPr>
          <w:p w14:paraId="68152582" w14:textId="77777777" w:rsidR="00156D1F" w:rsidRDefault="00156D1F" w:rsidP="00FE3166">
            <w:pPr>
              <w:pStyle w:val="TableParagraph"/>
              <w:rPr>
                <w:sz w:val="16"/>
              </w:rPr>
            </w:pPr>
            <w:r>
              <w:rPr>
                <w:color w:val="5F6062"/>
                <w:sz w:val="16"/>
              </w:rPr>
              <w:t>required to stand in</w:t>
            </w:r>
          </w:p>
        </w:tc>
        <w:tc>
          <w:tcPr>
            <w:tcW w:w="1602" w:type="dxa"/>
            <w:tcBorders>
              <w:top w:val="nil"/>
              <w:bottom w:val="nil"/>
            </w:tcBorders>
          </w:tcPr>
          <w:p w14:paraId="0E4CDE0C" w14:textId="77777777" w:rsidR="00156D1F" w:rsidRDefault="00156D1F" w:rsidP="00FE3166">
            <w:pPr>
              <w:pStyle w:val="TableParagraph"/>
              <w:rPr>
                <w:sz w:val="16"/>
              </w:rPr>
            </w:pPr>
            <w:r>
              <w:rPr>
                <w:color w:val="5F6062"/>
                <w:sz w:val="16"/>
              </w:rPr>
              <w:t>exceeds the volume</w:t>
            </w:r>
          </w:p>
        </w:tc>
        <w:tc>
          <w:tcPr>
            <w:tcW w:w="1569" w:type="dxa"/>
            <w:tcBorders>
              <w:top w:val="nil"/>
              <w:bottom w:val="nil"/>
            </w:tcBorders>
          </w:tcPr>
          <w:p w14:paraId="35EF2277" w14:textId="77777777" w:rsidR="00156D1F" w:rsidRDefault="00156D1F" w:rsidP="00FE3166">
            <w:pPr>
              <w:pStyle w:val="TableParagraph"/>
              <w:rPr>
                <w:sz w:val="16"/>
              </w:rPr>
            </w:pPr>
            <w:r>
              <w:rPr>
                <w:color w:val="5F6062"/>
                <w:sz w:val="16"/>
              </w:rPr>
              <w:t>from releasing the</w:t>
            </w:r>
          </w:p>
        </w:tc>
      </w:tr>
      <w:tr w:rsidR="00156D1F" w14:paraId="127CCC4B" w14:textId="77777777" w:rsidTr="00FE3166">
        <w:trPr>
          <w:trHeight w:val="320"/>
        </w:trPr>
        <w:tc>
          <w:tcPr>
            <w:tcW w:w="1192" w:type="dxa"/>
            <w:tcBorders>
              <w:top w:val="nil"/>
            </w:tcBorders>
            <w:shd w:val="clear" w:color="auto" w:fill="6CB33F"/>
          </w:tcPr>
          <w:p w14:paraId="43D1A2D1" w14:textId="77777777" w:rsidR="00156D1F" w:rsidRDefault="00156D1F" w:rsidP="00FE3166">
            <w:pPr>
              <w:pStyle w:val="TableParagraph"/>
              <w:rPr>
                <w:rFonts w:ascii="Times New Roman"/>
                <w:sz w:val="18"/>
              </w:rPr>
            </w:pPr>
          </w:p>
        </w:tc>
        <w:tc>
          <w:tcPr>
            <w:tcW w:w="1354" w:type="dxa"/>
            <w:tcBorders>
              <w:top w:val="nil"/>
            </w:tcBorders>
          </w:tcPr>
          <w:p w14:paraId="5C600FA7" w14:textId="77777777" w:rsidR="00156D1F" w:rsidRDefault="00156D1F" w:rsidP="00FE3166">
            <w:pPr>
              <w:pStyle w:val="TableParagraph"/>
              <w:spacing w:line="168" w:lineRule="exact"/>
              <w:rPr>
                <w:sz w:val="16"/>
              </w:rPr>
            </w:pPr>
            <w:r>
              <w:rPr>
                <w:color w:val="5F6062"/>
                <w:sz w:val="16"/>
              </w:rPr>
              <w:t>exertion)</w:t>
            </w:r>
          </w:p>
        </w:tc>
        <w:tc>
          <w:tcPr>
            <w:tcW w:w="1499" w:type="dxa"/>
            <w:tcBorders>
              <w:top w:val="nil"/>
            </w:tcBorders>
          </w:tcPr>
          <w:p w14:paraId="6C4570CD" w14:textId="77777777" w:rsidR="00156D1F" w:rsidRDefault="00156D1F" w:rsidP="00FE3166">
            <w:pPr>
              <w:pStyle w:val="TableParagraph"/>
              <w:spacing w:before="27" w:line="175" w:lineRule="auto"/>
              <w:rPr>
                <w:sz w:val="16"/>
              </w:rPr>
            </w:pPr>
            <w:r>
              <w:rPr>
                <w:color w:val="5F6062"/>
                <w:sz w:val="16"/>
              </w:rPr>
              <w:t xml:space="preserve">heat for </w:t>
            </w:r>
            <w:proofErr w:type="gramStart"/>
            <w:r>
              <w:rPr>
                <w:color w:val="5F6062"/>
                <w:sz w:val="16"/>
              </w:rPr>
              <w:t>long periods</w:t>
            </w:r>
            <w:proofErr w:type="gramEnd"/>
            <w:r>
              <w:rPr>
                <w:color w:val="5F6062"/>
                <w:sz w:val="16"/>
              </w:rPr>
              <w:t xml:space="preserve"> of time.</w:t>
            </w:r>
          </w:p>
        </w:tc>
        <w:tc>
          <w:tcPr>
            <w:tcW w:w="1602" w:type="dxa"/>
            <w:tcBorders>
              <w:top w:val="nil"/>
            </w:tcBorders>
          </w:tcPr>
          <w:p w14:paraId="3F056155" w14:textId="77777777" w:rsidR="00156D1F" w:rsidRDefault="00156D1F" w:rsidP="00FE3166">
            <w:pPr>
              <w:pStyle w:val="TableParagraph"/>
              <w:spacing w:line="168" w:lineRule="exact"/>
              <w:rPr>
                <w:sz w:val="16"/>
              </w:rPr>
            </w:pPr>
            <w:r>
              <w:rPr>
                <w:color w:val="5F6062"/>
                <w:sz w:val="16"/>
              </w:rPr>
              <w:t>of water taken in.</w:t>
            </w:r>
          </w:p>
        </w:tc>
        <w:tc>
          <w:tcPr>
            <w:tcW w:w="1569" w:type="dxa"/>
            <w:tcBorders>
              <w:top w:val="nil"/>
            </w:tcBorders>
          </w:tcPr>
          <w:p w14:paraId="4C73D345" w14:textId="77777777" w:rsidR="00156D1F" w:rsidRDefault="00156D1F" w:rsidP="00FE3166">
            <w:pPr>
              <w:pStyle w:val="TableParagraph"/>
              <w:spacing w:line="168" w:lineRule="exact"/>
              <w:rPr>
                <w:sz w:val="16"/>
              </w:rPr>
            </w:pPr>
            <w:r>
              <w:rPr>
                <w:color w:val="5F6062"/>
                <w:sz w:val="16"/>
              </w:rPr>
              <w:t>excess heat.</w:t>
            </w:r>
          </w:p>
        </w:tc>
      </w:tr>
      <w:tr w:rsidR="00156D1F" w14:paraId="35513757" w14:textId="77777777" w:rsidTr="00FE3166">
        <w:trPr>
          <w:trHeight w:val="340"/>
        </w:trPr>
        <w:tc>
          <w:tcPr>
            <w:tcW w:w="1192" w:type="dxa"/>
            <w:tcBorders>
              <w:bottom w:val="nil"/>
            </w:tcBorders>
            <w:shd w:val="clear" w:color="auto" w:fill="6CB33F"/>
          </w:tcPr>
          <w:p w14:paraId="58B624FF" w14:textId="77777777" w:rsidR="00156D1F" w:rsidRDefault="00156D1F" w:rsidP="00FE3166">
            <w:pPr>
              <w:pStyle w:val="TableParagraph"/>
              <w:spacing w:before="41"/>
              <w:rPr>
                <w:rFonts w:ascii="Whitney Semibold"/>
                <w:sz w:val="18"/>
              </w:rPr>
            </w:pPr>
            <w:r>
              <w:rPr>
                <w:rFonts w:ascii="Whitney Semibold"/>
                <w:color w:val="FFFFFF"/>
                <w:sz w:val="18"/>
              </w:rPr>
              <w:t>Symptoms</w:t>
            </w:r>
          </w:p>
        </w:tc>
        <w:tc>
          <w:tcPr>
            <w:tcW w:w="1354" w:type="dxa"/>
            <w:tcBorders>
              <w:bottom w:val="nil"/>
            </w:tcBorders>
          </w:tcPr>
          <w:p w14:paraId="5EB63CFA" w14:textId="77777777" w:rsidR="00156D1F" w:rsidRDefault="00156D1F" w:rsidP="00FE3166">
            <w:pPr>
              <w:pStyle w:val="TableParagraph"/>
              <w:spacing w:before="44" w:line="166" w:lineRule="exact"/>
              <w:rPr>
                <w:sz w:val="16"/>
              </w:rPr>
            </w:pPr>
            <w:r>
              <w:rPr>
                <w:color w:val="5F6062"/>
                <w:sz w:val="16"/>
              </w:rPr>
              <w:t>Painful muscle</w:t>
            </w:r>
          </w:p>
          <w:p w14:paraId="104E23B5" w14:textId="77777777" w:rsidR="00156D1F" w:rsidRDefault="00156D1F" w:rsidP="00FE3166">
            <w:pPr>
              <w:pStyle w:val="TableParagraph"/>
              <w:spacing w:line="118" w:lineRule="exact"/>
              <w:rPr>
                <w:sz w:val="16"/>
              </w:rPr>
            </w:pPr>
            <w:r>
              <w:rPr>
                <w:color w:val="5F6062"/>
                <w:sz w:val="16"/>
              </w:rPr>
              <w:t>spasms in the</w:t>
            </w:r>
          </w:p>
        </w:tc>
        <w:tc>
          <w:tcPr>
            <w:tcW w:w="1499" w:type="dxa"/>
            <w:tcBorders>
              <w:bottom w:val="nil"/>
            </w:tcBorders>
          </w:tcPr>
          <w:p w14:paraId="20BC84E9" w14:textId="77777777" w:rsidR="00156D1F" w:rsidRDefault="00156D1F" w:rsidP="00FE3166">
            <w:pPr>
              <w:pStyle w:val="TableParagraph"/>
              <w:spacing w:before="44" w:line="166" w:lineRule="exact"/>
              <w:rPr>
                <w:sz w:val="16"/>
              </w:rPr>
            </w:pPr>
            <w:r>
              <w:rPr>
                <w:color w:val="5F6062"/>
                <w:sz w:val="16"/>
              </w:rPr>
              <w:t>A brief loss of</w:t>
            </w:r>
          </w:p>
          <w:p w14:paraId="7B43B449" w14:textId="77777777" w:rsidR="00156D1F" w:rsidRDefault="00156D1F" w:rsidP="00FE3166">
            <w:pPr>
              <w:pStyle w:val="TableParagraph"/>
              <w:spacing w:line="118" w:lineRule="exact"/>
              <w:rPr>
                <w:sz w:val="16"/>
              </w:rPr>
            </w:pPr>
            <w:r>
              <w:rPr>
                <w:color w:val="5F6062"/>
                <w:sz w:val="16"/>
              </w:rPr>
              <w:t>consciousness.</w:t>
            </w:r>
          </w:p>
        </w:tc>
        <w:tc>
          <w:tcPr>
            <w:tcW w:w="1602" w:type="dxa"/>
            <w:tcBorders>
              <w:bottom w:val="nil"/>
            </w:tcBorders>
          </w:tcPr>
          <w:p w14:paraId="6F6845F5" w14:textId="77777777" w:rsidR="00156D1F" w:rsidRDefault="00156D1F" w:rsidP="00FE3166">
            <w:pPr>
              <w:pStyle w:val="TableParagraph"/>
              <w:spacing w:before="44" w:line="166" w:lineRule="exact"/>
              <w:rPr>
                <w:sz w:val="16"/>
              </w:rPr>
            </w:pPr>
            <w:r>
              <w:rPr>
                <w:color w:val="5F6062"/>
                <w:sz w:val="16"/>
              </w:rPr>
              <w:t>Profuse excessive</w:t>
            </w:r>
          </w:p>
          <w:p w14:paraId="0E50C882" w14:textId="77777777" w:rsidR="00156D1F" w:rsidRDefault="00156D1F" w:rsidP="00FE3166">
            <w:pPr>
              <w:pStyle w:val="TableParagraph"/>
              <w:spacing w:line="118" w:lineRule="exact"/>
              <w:rPr>
                <w:sz w:val="16"/>
              </w:rPr>
            </w:pPr>
            <w:r>
              <w:rPr>
                <w:color w:val="5F6062"/>
                <w:sz w:val="16"/>
              </w:rPr>
              <w:t>sweating, cool</w:t>
            </w:r>
          </w:p>
        </w:tc>
        <w:tc>
          <w:tcPr>
            <w:tcW w:w="1569" w:type="dxa"/>
            <w:tcBorders>
              <w:bottom w:val="nil"/>
            </w:tcBorders>
          </w:tcPr>
          <w:p w14:paraId="4C28EA7C" w14:textId="77777777" w:rsidR="00156D1F" w:rsidRDefault="00156D1F" w:rsidP="00FE3166">
            <w:pPr>
              <w:pStyle w:val="TableParagraph"/>
              <w:spacing w:before="44" w:line="166" w:lineRule="exact"/>
              <w:rPr>
                <w:sz w:val="16"/>
              </w:rPr>
            </w:pPr>
            <w:r>
              <w:rPr>
                <w:color w:val="5F6062"/>
                <w:sz w:val="16"/>
              </w:rPr>
              <w:t>Same as heat</w:t>
            </w:r>
          </w:p>
          <w:p w14:paraId="58B866EB" w14:textId="77777777" w:rsidR="00156D1F" w:rsidRDefault="00156D1F" w:rsidP="00FE3166">
            <w:pPr>
              <w:pStyle w:val="TableParagraph"/>
              <w:spacing w:line="118" w:lineRule="exact"/>
              <w:rPr>
                <w:sz w:val="16"/>
              </w:rPr>
            </w:pPr>
            <w:r>
              <w:rPr>
                <w:color w:val="5F6062"/>
                <w:sz w:val="16"/>
              </w:rPr>
              <w:t>exhaustion + core</w:t>
            </w:r>
          </w:p>
        </w:tc>
      </w:tr>
      <w:tr w:rsidR="00156D1F" w14:paraId="5942A641" w14:textId="77777777" w:rsidTr="00FE3166">
        <w:trPr>
          <w:trHeight w:val="140"/>
        </w:trPr>
        <w:tc>
          <w:tcPr>
            <w:tcW w:w="1192" w:type="dxa"/>
            <w:tcBorders>
              <w:top w:val="nil"/>
              <w:bottom w:val="nil"/>
            </w:tcBorders>
            <w:shd w:val="clear" w:color="auto" w:fill="6CB33F"/>
          </w:tcPr>
          <w:p w14:paraId="07C4C2A6" w14:textId="77777777" w:rsidR="00156D1F" w:rsidRDefault="00156D1F" w:rsidP="00FE3166">
            <w:pPr>
              <w:pStyle w:val="TableParagraph"/>
              <w:rPr>
                <w:rFonts w:ascii="Times New Roman"/>
                <w:sz w:val="8"/>
              </w:rPr>
            </w:pPr>
          </w:p>
        </w:tc>
        <w:tc>
          <w:tcPr>
            <w:tcW w:w="1354" w:type="dxa"/>
            <w:tcBorders>
              <w:top w:val="nil"/>
              <w:bottom w:val="nil"/>
            </w:tcBorders>
          </w:tcPr>
          <w:p w14:paraId="226C1D11" w14:textId="77777777" w:rsidR="00156D1F" w:rsidRDefault="00156D1F" w:rsidP="00FE3166">
            <w:pPr>
              <w:pStyle w:val="TableParagraph"/>
              <w:rPr>
                <w:sz w:val="16"/>
              </w:rPr>
            </w:pPr>
            <w:r>
              <w:rPr>
                <w:color w:val="5F6062"/>
                <w:sz w:val="16"/>
              </w:rPr>
              <w:t>arms, legs, and</w:t>
            </w:r>
          </w:p>
        </w:tc>
        <w:tc>
          <w:tcPr>
            <w:tcW w:w="1499" w:type="dxa"/>
            <w:tcBorders>
              <w:top w:val="nil"/>
              <w:bottom w:val="nil"/>
            </w:tcBorders>
          </w:tcPr>
          <w:p w14:paraId="28A3E8F3" w14:textId="77777777" w:rsidR="00156D1F" w:rsidRDefault="00156D1F" w:rsidP="00FE3166">
            <w:pPr>
              <w:pStyle w:val="TableParagraph"/>
              <w:rPr>
                <w:sz w:val="16"/>
              </w:rPr>
            </w:pPr>
            <w:r>
              <w:rPr>
                <w:color w:val="5F6062"/>
                <w:sz w:val="16"/>
              </w:rPr>
              <w:t>In a worker who</w:t>
            </w:r>
          </w:p>
        </w:tc>
        <w:tc>
          <w:tcPr>
            <w:tcW w:w="1602" w:type="dxa"/>
            <w:tcBorders>
              <w:top w:val="nil"/>
              <w:bottom w:val="nil"/>
            </w:tcBorders>
          </w:tcPr>
          <w:p w14:paraId="332C689A" w14:textId="77777777" w:rsidR="00156D1F" w:rsidRDefault="00156D1F" w:rsidP="00FE3166">
            <w:pPr>
              <w:pStyle w:val="TableParagraph"/>
              <w:rPr>
                <w:sz w:val="16"/>
              </w:rPr>
            </w:pPr>
            <w:r>
              <w:rPr>
                <w:color w:val="5F6062"/>
                <w:sz w:val="16"/>
              </w:rPr>
              <w:t>clammy pale skin,</w:t>
            </w:r>
          </w:p>
        </w:tc>
        <w:tc>
          <w:tcPr>
            <w:tcW w:w="1569" w:type="dxa"/>
            <w:tcBorders>
              <w:top w:val="nil"/>
              <w:bottom w:val="nil"/>
            </w:tcBorders>
          </w:tcPr>
          <w:p w14:paraId="49B5A9DF" w14:textId="77777777" w:rsidR="00156D1F" w:rsidRDefault="00156D1F" w:rsidP="00FE3166">
            <w:pPr>
              <w:pStyle w:val="TableParagraph"/>
              <w:rPr>
                <w:sz w:val="16"/>
              </w:rPr>
            </w:pPr>
            <w:r>
              <w:rPr>
                <w:color w:val="5F6062"/>
                <w:sz w:val="16"/>
              </w:rPr>
              <w:t>body temperature</w:t>
            </w:r>
          </w:p>
        </w:tc>
      </w:tr>
      <w:tr w:rsidR="00156D1F" w14:paraId="1CA7605D" w14:textId="77777777" w:rsidTr="00FE3166">
        <w:trPr>
          <w:trHeight w:val="280"/>
        </w:trPr>
        <w:tc>
          <w:tcPr>
            <w:tcW w:w="1192" w:type="dxa"/>
            <w:tcBorders>
              <w:top w:val="nil"/>
              <w:bottom w:val="nil"/>
            </w:tcBorders>
            <w:shd w:val="clear" w:color="auto" w:fill="6CB33F"/>
          </w:tcPr>
          <w:p w14:paraId="6CF0E813" w14:textId="77777777" w:rsidR="00156D1F" w:rsidRDefault="00156D1F" w:rsidP="00FE3166">
            <w:pPr>
              <w:pStyle w:val="TableParagraph"/>
              <w:rPr>
                <w:rFonts w:ascii="Times New Roman"/>
                <w:sz w:val="18"/>
              </w:rPr>
            </w:pPr>
          </w:p>
        </w:tc>
        <w:tc>
          <w:tcPr>
            <w:tcW w:w="1354" w:type="dxa"/>
            <w:tcBorders>
              <w:top w:val="nil"/>
              <w:bottom w:val="nil"/>
            </w:tcBorders>
          </w:tcPr>
          <w:p w14:paraId="71040049" w14:textId="77777777" w:rsidR="00156D1F" w:rsidRDefault="00156D1F" w:rsidP="00FE3166">
            <w:pPr>
              <w:pStyle w:val="TableParagraph"/>
              <w:spacing w:line="168" w:lineRule="exact"/>
              <w:rPr>
                <w:sz w:val="16"/>
              </w:rPr>
            </w:pPr>
            <w:r>
              <w:rPr>
                <w:color w:val="5F6062"/>
                <w:sz w:val="16"/>
              </w:rPr>
              <w:t>abdomen</w:t>
            </w:r>
          </w:p>
        </w:tc>
        <w:tc>
          <w:tcPr>
            <w:tcW w:w="1499" w:type="dxa"/>
            <w:tcBorders>
              <w:top w:val="nil"/>
              <w:bottom w:val="nil"/>
            </w:tcBorders>
          </w:tcPr>
          <w:p w14:paraId="418BD333" w14:textId="77777777" w:rsidR="00156D1F" w:rsidRDefault="00156D1F" w:rsidP="00FE3166">
            <w:pPr>
              <w:pStyle w:val="TableParagraph"/>
              <w:spacing w:line="142" w:lineRule="exact"/>
              <w:rPr>
                <w:sz w:val="16"/>
              </w:rPr>
            </w:pPr>
            <w:r>
              <w:rPr>
                <w:color w:val="5F6062"/>
                <w:sz w:val="16"/>
              </w:rPr>
              <w:t>is performing any</w:t>
            </w:r>
          </w:p>
          <w:p w14:paraId="2C322DE9" w14:textId="77777777" w:rsidR="00156D1F" w:rsidRDefault="00156D1F" w:rsidP="00FE3166">
            <w:pPr>
              <w:pStyle w:val="TableParagraph"/>
              <w:spacing w:line="118" w:lineRule="exact"/>
              <w:rPr>
                <w:sz w:val="16"/>
              </w:rPr>
            </w:pPr>
            <w:r>
              <w:rPr>
                <w:color w:val="5F6062"/>
                <w:sz w:val="16"/>
              </w:rPr>
              <w:t>substantial labor,</w:t>
            </w:r>
          </w:p>
        </w:tc>
        <w:tc>
          <w:tcPr>
            <w:tcW w:w="1602" w:type="dxa"/>
            <w:tcBorders>
              <w:top w:val="nil"/>
              <w:bottom w:val="nil"/>
            </w:tcBorders>
          </w:tcPr>
          <w:p w14:paraId="1C180A14" w14:textId="77777777" w:rsidR="00156D1F" w:rsidRDefault="00156D1F" w:rsidP="00FE3166">
            <w:pPr>
              <w:pStyle w:val="TableParagraph"/>
              <w:spacing w:line="142" w:lineRule="exact"/>
              <w:rPr>
                <w:sz w:val="16"/>
              </w:rPr>
            </w:pPr>
            <w:r>
              <w:rPr>
                <w:color w:val="5F6062"/>
                <w:sz w:val="16"/>
              </w:rPr>
              <w:t>weakness and fatigue,</w:t>
            </w:r>
          </w:p>
          <w:p w14:paraId="61477136" w14:textId="77777777" w:rsidR="00156D1F" w:rsidRDefault="00156D1F" w:rsidP="00FE3166">
            <w:pPr>
              <w:pStyle w:val="TableParagraph"/>
              <w:spacing w:line="118" w:lineRule="exact"/>
              <w:rPr>
                <w:sz w:val="16"/>
              </w:rPr>
            </w:pPr>
            <w:r>
              <w:rPr>
                <w:color w:val="5F6062"/>
                <w:sz w:val="16"/>
              </w:rPr>
              <w:t>dizziness, nausea and</w:t>
            </w:r>
          </w:p>
        </w:tc>
        <w:tc>
          <w:tcPr>
            <w:tcW w:w="1569" w:type="dxa"/>
            <w:tcBorders>
              <w:top w:val="nil"/>
              <w:bottom w:val="nil"/>
            </w:tcBorders>
          </w:tcPr>
          <w:p w14:paraId="0CCF1D8E" w14:textId="77777777" w:rsidR="00156D1F" w:rsidRDefault="00156D1F" w:rsidP="00FE3166">
            <w:pPr>
              <w:pStyle w:val="TableParagraph"/>
              <w:spacing w:line="142" w:lineRule="exact"/>
              <w:rPr>
                <w:sz w:val="16"/>
              </w:rPr>
            </w:pPr>
            <w:r>
              <w:rPr>
                <w:color w:val="5F6062"/>
                <w:sz w:val="16"/>
              </w:rPr>
              <w:t>&gt;104 degrees,</w:t>
            </w:r>
          </w:p>
          <w:p w14:paraId="00AD8A82" w14:textId="77777777" w:rsidR="00156D1F" w:rsidRDefault="00156D1F" w:rsidP="00FE3166">
            <w:pPr>
              <w:pStyle w:val="TableParagraph"/>
              <w:spacing w:line="118" w:lineRule="exact"/>
              <w:rPr>
                <w:sz w:val="16"/>
              </w:rPr>
            </w:pPr>
            <w:r>
              <w:rPr>
                <w:color w:val="5F6062"/>
                <w:sz w:val="16"/>
              </w:rPr>
              <w:t>altered mental status</w:t>
            </w:r>
          </w:p>
        </w:tc>
      </w:tr>
      <w:tr w:rsidR="00156D1F" w14:paraId="7AFC0524" w14:textId="77777777" w:rsidTr="00FE3166">
        <w:trPr>
          <w:trHeight w:val="140"/>
        </w:trPr>
        <w:tc>
          <w:tcPr>
            <w:tcW w:w="1192" w:type="dxa"/>
            <w:tcBorders>
              <w:top w:val="nil"/>
              <w:bottom w:val="nil"/>
            </w:tcBorders>
            <w:shd w:val="clear" w:color="auto" w:fill="6CB33F"/>
          </w:tcPr>
          <w:p w14:paraId="5C28A008" w14:textId="77777777" w:rsidR="00156D1F" w:rsidRDefault="00156D1F" w:rsidP="00FE3166">
            <w:pPr>
              <w:pStyle w:val="TableParagraph"/>
              <w:rPr>
                <w:rFonts w:ascii="Times New Roman"/>
                <w:sz w:val="8"/>
              </w:rPr>
            </w:pPr>
          </w:p>
        </w:tc>
        <w:tc>
          <w:tcPr>
            <w:tcW w:w="1354" w:type="dxa"/>
            <w:tcBorders>
              <w:top w:val="nil"/>
              <w:bottom w:val="nil"/>
            </w:tcBorders>
          </w:tcPr>
          <w:p w14:paraId="1D904CDB" w14:textId="77777777" w:rsidR="00156D1F" w:rsidRDefault="00156D1F" w:rsidP="00FE3166">
            <w:pPr>
              <w:pStyle w:val="TableParagraph"/>
              <w:rPr>
                <w:rFonts w:ascii="Times New Roman"/>
                <w:sz w:val="8"/>
              </w:rPr>
            </w:pPr>
          </w:p>
        </w:tc>
        <w:tc>
          <w:tcPr>
            <w:tcW w:w="1499" w:type="dxa"/>
            <w:tcBorders>
              <w:top w:val="nil"/>
              <w:bottom w:val="nil"/>
            </w:tcBorders>
          </w:tcPr>
          <w:p w14:paraId="43E1259B" w14:textId="77777777" w:rsidR="00156D1F" w:rsidRDefault="00156D1F" w:rsidP="00FE3166">
            <w:pPr>
              <w:pStyle w:val="TableParagraph"/>
              <w:rPr>
                <w:sz w:val="16"/>
              </w:rPr>
            </w:pPr>
            <w:r>
              <w:rPr>
                <w:color w:val="5F6062"/>
                <w:sz w:val="16"/>
              </w:rPr>
              <w:t>consider it HEAT</w:t>
            </w:r>
          </w:p>
        </w:tc>
        <w:tc>
          <w:tcPr>
            <w:tcW w:w="1602" w:type="dxa"/>
            <w:tcBorders>
              <w:top w:val="nil"/>
              <w:bottom w:val="nil"/>
            </w:tcBorders>
          </w:tcPr>
          <w:p w14:paraId="2F6C800E" w14:textId="77777777" w:rsidR="00156D1F" w:rsidRDefault="00156D1F" w:rsidP="00FE3166">
            <w:pPr>
              <w:pStyle w:val="TableParagraph"/>
              <w:rPr>
                <w:sz w:val="16"/>
              </w:rPr>
            </w:pPr>
            <w:r>
              <w:rPr>
                <w:color w:val="5F6062"/>
                <w:sz w:val="16"/>
              </w:rPr>
              <w:t>vomiting, weak rapid</w:t>
            </w:r>
          </w:p>
        </w:tc>
        <w:tc>
          <w:tcPr>
            <w:tcW w:w="1569" w:type="dxa"/>
            <w:tcBorders>
              <w:top w:val="nil"/>
              <w:bottom w:val="nil"/>
            </w:tcBorders>
          </w:tcPr>
          <w:p w14:paraId="70795D45" w14:textId="77777777" w:rsidR="00156D1F" w:rsidRDefault="00156D1F" w:rsidP="00FE3166">
            <w:pPr>
              <w:pStyle w:val="TableParagraph"/>
              <w:rPr>
                <w:sz w:val="16"/>
              </w:rPr>
            </w:pPr>
            <w:r>
              <w:rPr>
                <w:color w:val="5F6062"/>
                <w:sz w:val="16"/>
              </w:rPr>
              <w:t>(irrational behavior,</w:t>
            </w:r>
          </w:p>
        </w:tc>
      </w:tr>
      <w:tr w:rsidR="00156D1F" w14:paraId="0C32A159" w14:textId="77777777" w:rsidTr="00FE3166">
        <w:trPr>
          <w:trHeight w:val="140"/>
        </w:trPr>
        <w:tc>
          <w:tcPr>
            <w:tcW w:w="1192" w:type="dxa"/>
            <w:tcBorders>
              <w:top w:val="nil"/>
              <w:bottom w:val="nil"/>
            </w:tcBorders>
            <w:shd w:val="clear" w:color="auto" w:fill="6CB33F"/>
          </w:tcPr>
          <w:p w14:paraId="315E37A1" w14:textId="77777777" w:rsidR="00156D1F" w:rsidRDefault="00156D1F" w:rsidP="00FE3166">
            <w:pPr>
              <w:pStyle w:val="TableParagraph"/>
              <w:rPr>
                <w:rFonts w:ascii="Times New Roman"/>
                <w:sz w:val="8"/>
              </w:rPr>
            </w:pPr>
          </w:p>
        </w:tc>
        <w:tc>
          <w:tcPr>
            <w:tcW w:w="1354" w:type="dxa"/>
            <w:tcBorders>
              <w:top w:val="nil"/>
              <w:bottom w:val="nil"/>
            </w:tcBorders>
          </w:tcPr>
          <w:p w14:paraId="0688F794" w14:textId="77777777" w:rsidR="00156D1F" w:rsidRDefault="00156D1F" w:rsidP="00FE3166">
            <w:pPr>
              <w:pStyle w:val="TableParagraph"/>
              <w:rPr>
                <w:rFonts w:ascii="Times New Roman"/>
                <w:sz w:val="8"/>
              </w:rPr>
            </w:pPr>
          </w:p>
        </w:tc>
        <w:tc>
          <w:tcPr>
            <w:tcW w:w="1499" w:type="dxa"/>
            <w:tcBorders>
              <w:top w:val="nil"/>
              <w:bottom w:val="nil"/>
            </w:tcBorders>
          </w:tcPr>
          <w:p w14:paraId="4F8EA54F" w14:textId="77777777" w:rsidR="00156D1F" w:rsidRDefault="00156D1F" w:rsidP="00FE3166">
            <w:pPr>
              <w:pStyle w:val="TableParagraph"/>
              <w:rPr>
                <w:sz w:val="16"/>
              </w:rPr>
            </w:pPr>
            <w:r>
              <w:rPr>
                <w:color w:val="5F6062"/>
                <w:sz w:val="16"/>
              </w:rPr>
              <w:t>STROKE, call 911,</w:t>
            </w:r>
          </w:p>
        </w:tc>
        <w:tc>
          <w:tcPr>
            <w:tcW w:w="1602" w:type="dxa"/>
            <w:tcBorders>
              <w:top w:val="nil"/>
              <w:bottom w:val="nil"/>
            </w:tcBorders>
          </w:tcPr>
          <w:p w14:paraId="2E68988C" w14:textId="77777777" w:rsidR="00156D1F" w:rsidRDefault="00156D1F" w:rsidP="00FE3166">
            <w:pPr>
              <w:pStyle w:val="TableParagraph"/>
              <w:rPr>
                <w:sz w:val="16"/>
              </w:rPr>
            </w:pPr>
            <w:r>
              <w:rPr>
                <w:color w:val="5F6062"/>
                <w:sz w:val="16"/>
              </w:rPr>
              <w:t>pulse and early neuro-</w:t>
            </w:r>
          </w:p>
        </w:tc>
        <w:tc>
          <w:tcPr>
            <w:tcW w:w="1569" w:type="dxa"/>
            <w:tcBorders>
              <w:top w:val="nil"/>
              <w:bottom w:val="nil"/>
            </w:tcBorders>
          </w:tcPr>
          <w:p w14:paraId="7DB10C52" w14:textId="77777777" w:rsidR="00156D1F" w:rsidRDefault="00156D1F" w:rsidP="00FE3166">
            <w:pPr>
              <w:pStyle w:val="TableParagraph"/>
              <w:rPr>
                <w:sz w:val="16"/>
              </w:rPr>
            </w:pPr>
            <w:r>
              <w:rPr>
                <w:color w:val="5F6062"/>
                <w:sz w:val="16"/>
              </w:rPr>
              <w:t>psychosis, aggressive</w:t>
            </w:r>
          </w:p>
        </w:tc>
      </w:tr>
      <w:tr w:rsidR="00156D1F" w14:paraId="21FF1733" w14:textId="77777777" w:rsidTr="00FE3166">
        <w:trPr>
          <w:trHeight w:val="140"/>
        </w:trPr>
        <w:tc>
          <w:tcPr>
            <w:tcW w:w="1192" w:type="dxa"/>
            <w:tcBorders>
              <w:top w:val="nil"/>
              <w:bottom w:val="nil"/>
            </w:tcBorders>
            <w:shd w:val="clear" w:color="auto" w:fill="6CB33F"/>
          </w:tcPr>
          <w:p w14:paraId="0D649B0B" w14:textId="77777777" w:rsidR="00156D1F" w:rsidRDefault="00156D1F" w:rsidP="00FE3166">
            <w:pPr>
              <w:pStyle w:val="TableParagraph"/>
              <w:rPr>
                <w:rFonts w:ascii="Times New Roman"/>
                <w:sz w:val="8"/>
              </w:rPr>
            </w:pPr>
          </w:p>
        </w:tc>
        <w:tc>
          <w:tcPr>
            <w:tcW w:w="1354" w:type="dxa"/>
            <w:tcBorders>
              <w:top w:val="nil"/>
              <w:bottom w:val="nil"/>
            </w:tcBorders>
          </w:tcPr>
          <w:p w14:paraId="679CA1F3" w14:textId="77777777" w:rsidR="00156D1F" w:rsidRDefault="00156D1F" w:rsidP="00FE3166">
            <w:pPr>
              <w:pStyle w:val="TableParagraph"/>
              <w:rPr>
                <w:rFonts w:ascii="Times New Roman"/>
                <w:sz w:val="8"/>
              </w:rPr>
            </w:pPr>
          </w:p>
        </w:tc>
        <w:tc>
          <w:tcPr>
            <w:tcW w:w="1499" w:type="dxa"/>
            <w:tcBorders>
              <w:top w:val="nil"/>
              <w:bottom w:val="nil"/>
            </w:tcBorders>
          </w:tcPr>
          <w:p w14:paraId="7EFDE6E0" w14:textId="77777777" w:rsidR="00156D1F" w:rsidRDefault="00156D1F" w:rsidP="00FE3166">
            <w:pPr>
              <w:pStyle w:val="TableParagraph"/>
              <w:rPr>
                <w:sz w:val="16"/>
              </w:rPr>
            </w:pPr>
            <w:r>
              <w:rPr>
                <w:color w:val="5F6062"/>
                <w:sz w:val="16"/>
              </w:rPr>
              <w:t>and cool down</w:t>
            </w:r>
          </w:p>
        </w:tc>
        <w:tc>
          <w:tcPr>
            <w:tcW w:w="1602" w:type="dxa"/>
            <w:tcBorders>
              <w:top w:val="nil"/>
              <w:bottom w:val="nil"/>
            </w:tcBorders>
          </w:tcPr>
          <w:p w14:paraId="6D8F2C63" w14:textId="77777777" w:rsidR="00156D1F" w:rsidRDefault="00156D1F" w:rsidP="00FE3166">
            <w:pPr>
              <w:pStyle w:val="TableParagraph"/>
              <w:rPr>
                <w:sz w:val="16"/>
              </w:rPr>
            </w:pPr>
            <w:r>
              <w:rPr>
                <w:color w:val="5F6062"/>
                <w:sz w:val="16"/>
              </w:rPr>
              <w:t>logical symptoms</w:t>
            </w:r>
          </w:p>
        </w:tc>
        <w:tc>
          <w:tcPr>
            <w:tcW w:w="1569" w:type="dxa"/>
            <w:tcBorders>
              <w:top w:val="nil"/>
              <w:bottom w:val="nil"/>
            </w:tcBorders>
          </w:tcPr>
          <w:p w14:paraId="28A6CC79" w14:textId="77777777" w:rsidR="00156D1F" w:rsidRDefault="00156D1F" w:rsidP="00FE3166">
            <w:pPr>
              <w:pStyle w:val="TableParagraph"/>
              <w:rPr>
                <w:sz w:val="16"/>
              </w:rPr>
            </w:pPr>
            <w:r>
              <w:rPr>
                <w:color w:val="5F6062"/>
                <w:sz w:val="16"/>
              </w:rPr>
              <w:t>behavior, incoherent</w:t>
            </w:r>
          </w:p>
        </w:tc>
      </w:tr>
      <w:tr w:rsidR="00156D1F" w14:paraId="556819EE" w14:textId="77777777" w:rsidTr="00FE3166">
        <w:trPr>
          <w:trHeight w:val="140"/>
        </w:trPr>
        <w:tc>
          <w:tcPr>
            <w:tcW w:w="1192" w:type="dxa"/>
            <w:tcBorders>
              <w:top w:val="nil"/>
              <w:bottom w:val="nil"/>
            </w:tcBorders>
            <w:shd w:val="clear" w:color="auto" w:fill="6CB33F"/>
          </w:tcPr>
          <w:p w14:paraId="5229BFD1" w14:textId="77777777" w:rsidR="00156D1F" w:rsidRDefault="00156D1F" w:rsidP="00FE3166">
            <w:pPr>
              <w:pStyle w:val="TableParagraph"/>
              <w:rPr>
                <w:rFonts w:ascii="Times New Roman"/>
                <w:sz w:val="8"/>
              </w:rPr>
            </w:pPr>
          </w:p>
        </w:tc>
        <w:tc>
          <w:tcPr>
            <w:tcW w:w="1354" w:type="dxa"/>
            <w:tcBorders>
              <w:top w:val="nil"/>
              <w:bottom w:val="nil"/>
            </w:tcBorders>
          </w:tcPr>
          <w:p w14:paraId="26B088EC" w14:textId="77777777" w:rsidR="00156D1F" w:rsidRDefault="00156D1F" w:rsidP="00FE3166">
            <w:pPr>
              <w:pStyle w:val="TableParagraph"/>
              <w:rPr>
                <w:rFonts w:ascii="Times New Roman"/>
                <w:sz w:val="8"/>
              </w:rPr>
            </w:pPr>
          </w:p>
        </w:tc>
        <w:tc>
          <w:tcPr>
            <w:tcW w:w="1499" w:type="dxa"/>
            <w:tcBorders>
              <w:top w:val="nil"/>
              <w:bottom w:val="nil"/>
            </w:tcBorders>
          </w:tcPr>
          <w:p w14:paraId="5D8190F6" w14:textId="77777777" w:rsidR="00156D1F" w:rsidRDefault="00156D1F" w:rsidP="00FE3166">
            <w:pPr>
              <w:pStyle w:val="TableParagraph"/>
              <w:rPr>
                <w:sz w:val="16"/>
              </w:rPr>
            </w:pPr>
            <w:r>
              <w:rPr>
                <w:color w:val="5F6062"/>
                <w:sz w:val="16"/>
              </w:rPr>
              <w:t>immediately by any</w:t>
            </w:r>
          </w:p>
        </w:tc>
        <w:tc>
          <w:tcPr>
            <w:tcW w:w="1602" w:type="dxa"/>
            <w:tcBorders>
              <w:top w:val="nil"/>
              <w:bottom w:val="nil"/>
            </w:tcBorders>
          </w:tcPr>
          <w:p w14:paraId="4EA3154B" w14:textId="77777777" w:rsidR="00156D1F" w:rsidRDefault="00156D1F" w:rsidP="00FE3166">
            <w:pPr>
              <w:pStyle w:val="TableParagraph"/>
              <w:rPr>
                <w:sz w:val="16"/>
              </w:rPr>
            </w:pPr>
            <w:r>
              <w:rPr>
                <w:color w:val="5F6062"/>
                <w:sz w:val="16"/>
              </w:rPr>
              <w:t>(headaches,</w:t>
            </w:r>
          </w:p>
        </w:tc>
        <w:tc>
          <w:tcPr>
            <w:tcW w:w="1569" w:type="dxa"/>
            <w:tcBorders>
              <w:top w:val="nil"/>
              <w:bottom w:val="nil"/>
            </w:tcBorders>
          </w:tcPr>
          <w:p w14:paraId="6174B59C" w14:textId="77777777" w:rsidR="00156D1F" w:rsidRDefault="00156D1F" w:rsidP="00FE3166">
            <w:pPr>
              <w:pStyle w:val="TableParagraph"/>
              <w:rPr>
                <w:sz w:val="16"/>
              </w:rPr>
            </w:pPr>
            <w:r>
              <w:rPr>
                <w:color w:val="5F6062"/>
                <w:sz w:val="16"/>
              </w:rPr>
              <w:t>speech), the skin can</w:t>
            </w:r>
          </w:p>
        </w:tc>
      </w:tr>
      <w:tr w:rsidR="00156D1F" w14:paraId="414CC6C0" w14:textId="77777777" w:rsidTr="00FE3166">
        <w:trPr>
          <w:trHeight w:val="460"/>
        </w:trPr>
        <w:tc>
          <w:tcPr>
            <w:tcW w:w="1192" w:type="dxa"/>
            <w:tcBorders>
              <w:top w:val="nil"/>
            </w:tcBorders>
            <w:shd w:val="clear" w:color="auto" w:fill="6CB33F"/>
          </w:tcPr>
          <w:p w14:paraId="15B7ADC2" w14:textId="77777777" w:rsidR="00156D1F" w:rsidRDefault="00156D1F" w:rsidP="00FE3166">
            <w:pPr>
              <w:pStyle w:val="TableParagraph"/>
              <w:rPr>
                <w:rFonts w:ascii="Times New Roman"/>
                <w:sz w:val="18"/>
              </w:rPr>
            </w:pPr>
          </w:p>
        </w:tc>
        <w:tc>
          <w:tcPr>
            <w:tcW w:w="1354" w:type="dxa"/>
            <w:tcBorders>
              <w:top w:val="nil"/>
            </w:tcBorders>
          </w:tcPr>
          <w:p w14:paraId="4291AD57" w14:textId="77777777" w:rsidR="00156D1F" w:rsidRDefault="00156D1F" w:rsidP="00FE3166">
            <w:pPr>
              <w:pStyle w:val="TableParagraph"/>
              <w:rPr>
                <w:rFonts w:ascii="Times New Roman"/>
                <w:sz w:val="18"/>
              </w:rPr>
            </w:pPr>
          </w:p>
        </w:tc>
        <w:tc>
          <w:tcPr>
            <w:tcW w:w="1499" w:type="dxa"/>
            <w:tcBorders>
              <w:top w:val="nil"/>
            </w:tcBorders>
          </w:tcPr>
          <w:p w14:paraId="69B3AF7B" w14:textId="77777777" w:rsidR="00156D1F" w:rsidRDefault="00156D1F" w:rsidP="00FE3166">
            <w:pPr>
              <w:pStyle w:val="TableParagraph"/>
              <w:spacing w:line="168" w:lineRule="exact"/>
              <w:rPr>
                <w:sz w:val="16"/>
              </w:rPr>
            </w:pPr>
            <w:r>
              <w:rPr>
                <w:color w:val="5F6062"/>
                <w:sz w:val="16"/>
              </w:rPr>
              <w:t>method.</w:t>
            </w:r>
          </w:p>
        </w:tc>
        <w:tc>
          <w:tcPr>
            <w:tcW w:w="1602" w:type="dxa"/>
            <w:tcBorders>
              <w:top w:val="nil"/>
            </w:tcBorders>
          </w:tcPr>
          <w:p w14:paraId="2D5FE976" w14:textId="77777777" w:rsidR="00156D1F" w:rsidRDefault="00156D1F" w:rsidP="00FE3166">
            <w:pPr>
              <w:pStyle w:val="TableParagraph"/>
              <w:spacing w:before="27" w:line="175" w:lineRule="auto"/>
              <w:rPr>
                <w:sz w:val="16"/>
              </w:rPr>
            </w:pPr>
            <w:r>
              <w:rPr>
                <w:color w:val="5F6062"/>
                <w:sz w:val="16"/>
              </w:rPr>
              <w:t>anxiety, or impaired judgment).</w:t>
            </w:r>
          </w:p>
        </w:tc>
        <w:tc>
          <w:tcPr>
            <w:tcW w:w="1569" w:type="dxa"/>
            <w:tcBorders>
              <w:top w:val="nil"/>
            </w:tcBorders>
          </w:tcPr>
          <w:p w14:paraId="538C1D4C" w14:textId="77777777" w:rsidR="00156D1F" w:rsidRDefault="00156D1F" w:rsidP="00FE3166">
            <w:pPr>
              <w:pStyle w:val="TableParagraph"/>
              <w:spacing w:before="27" w:line="175" w:lineRule="auto"/>
              <w:ind w:right="82"/>
              <w:jc w:val="both"/>
              <w:rPr>
                <w:sz w:val="16"/>
              </w:rPr>
            </w:pPr>
            <w:r>
              <w:rPr>
                <w:color w:val="5F6062"/>
                <w:sz w:val="16"/>
              </w:rPr>
              <w:t>be</w:t>
            </w:r>
            <w:r>
              <w:rPr>
                <w:color w:val="5F6062"/>
                <w:spacing w:val="-12"/>
                <w:sz w:val="16"/>
              </w:rPr>
              <w:t xml:space="preserve"> </w:t>
            </w:r>
            <w:r>
              <w:rPr>
                <w:color w:val="5F6062"/>
                <w:sz w:val="16"/>
              </w:rPr>
              <w:t>hot,</w:t>
            </w:r>
            <w:r>
              <w:rPr>
                <w:color w:val="5F6062"/>
                <w:spacing w:val="-12"/>
                <w:sz w:val="16"/>
              </w:rPr>
              <w:t xml:space="preserve"> </w:t>
            </w:r>
            <w:r>
              <w:rPr>
                <w:color w:val="5F6062"/>
                <w:sz w:val="16"/>
              </w:rPr>
              <w:t>flushed,</w:t>
            </w:r>
            <w:r>
              <w:rPr>
                <w:color w:val="5F6062"/>
                <w:spacing w:val="-12"/>
                <w:sz w:val="16"/>
              </w:rPr>
              <w:t xml:space="preserve"> </w:t>
            </w:r>
            <w:r>
              <w:rPr>
                <w:color w:val="5F6062"/>
                <w:sz w:val="16"/>
              </w:rPr>
              <w:t xml:space="preserve">pulse </w:t>
            </w:r>
            <w:r>
              <w:rPr>
                <w:color w:val="5F6062"/>
                <w:spacing w:val="-2"/>
                <w:sz w:val="16"/>
              </w:rPr>
              <w:t xml:space="preserve">may </w:t>
            </w:r>
            <w:r>
              <w:rPr>
                <w:color w:val="5F6062"/>
                <w:sz w:val="16"/>
              </w:rPr>
              <w:t>be bounding</w:t>
            </w:r>
            <w:r>
              <w:rPr>
                <w:color w:val="5F6062"/>
                <w:spacing w:val="-25"/>
                <w:sz w:val="16"/>
              </w:rPr>
              <w:t xml:space="preserve"> </w:t>
            </w:r>
            <w:r>
              <w:rPr>
                <w:color w:val="5F6062"/>
                <w:spacing w:val="-2"/>
                <w:sz w:val="16"/>
              </w:rPr>
              <w:t xml:space="preserve">and </w:t>
            </w:r>
            <w:r>
              <w:rPr>
                <w:color w:val="5F6062"/>
                <w:spacing w:val="-3"/>
                <w:sz w:val="16"/>
              </w:rPr>
              <w:t>rapid.</w:t>
            </w:r>
          </w:p>
        </w:tc>
      </w:tr>
      <w:tr w:rsidR="00156D1F" w14:paraId="2B953D08" w14:textId="77777777" w:rsidTr="00FE3166">
        <w:trPr>
          <w:trHeight w:val="480"/>
        </w:trPr>
        <w:tc>
          <w:tcPr>
            <w:tcW w:w="1192" w:type="dxa"/>
            <w:tcBorders>
              <w:bottom w:val="nil"/>
            </w:tcBorders>
            <w:shd w:val="clear" w:color="auto" w:fill="6CB33F"/>
          </w:tcPr>
          <w:p w14:paraId="39717AEF" w14:textId="77777777" w:rsidR="00156D1F" w:rsidRDefault="00156D1F" w:rsidP="00FE3166">
            <w:pPr>
              <w:pStyle w:val="TableParagraph"/>
              <w:spacing w:before="78" w:line="199" w:lineRule="auto"/>
              <w:ind w:right="10"/>
              <w:rPr>
                <w:rFonts w:ascii="Whitney Semibold"/>
                <w:sz w:val="18"/>
              </w:rPr>
            </w:pPr>
            <w:r>
              <w:rPr>
                <w:rFonts w:ascii="Whitney Semibold"/>
                <w:color w:val="FFFFFF"/>
                <w:spacing w:val="-3"/>
                <w:sz w:val="18"/>
              </w:rPr>
              <w:t xml:space="preserve">Consequences </w:t>
            </w:r>
            <w:r>
              <w:rPr>
                <w:rFonts w:ascii="Whitney Semibold"/>
                <w:color w:val="FFFFFF"/>
                <w:sz w:val="18"/>
              </w:rPr>
              <w:t xml:space="preserve">if </w:t>
            </w:r>
            <w:r>
              <w:rPr>
                <w:rFonts w:ascii="Whitney Semibold"/>
                <w:color w:val="FFFFFF"/>
                <w:spacing w:val="-3"/>
                <w:sz w:val="18"/>
              </w:rPr>
              <w:t>untreated</w:t>
            </w:r>
          </w:p>
        </w:tc>
        <w:tc>
          <w:tcPr>
            <w:tcW w:w="1354" w:type="dxa"/>
            <w:tcBorders>
              <w:bottom w:val="nil"/>
            </w:tcBorders>
          </w:tcPr>
          <w:p w14:paraId="5185EBBB" w14:textId="77777777" w:rsidR="00156D1F" w:rsidRDefault="00156D1F" w:rsidP="00FE3166">
            <w:pPr>
              <w:pStyle w:val="TableParagraph"/>
              <w:spacing w:before="96" w:line="175" w:lineRule="auto"/>
              <w:rPr>
                <w:sz w:val="16"/>
              </w:rPr>
            </w:pPr>
            <w:r>
              <w:rPr>
                <w:color w:val="5F6062"/>
                <w:sz w:val="16"/>
              </w:rPr>
              <w:t>May be accompanied</w:t>
            </w:r>
          </w:p>
          <w:p w14:paraId="19B134A9" w14:textId="77777777" w:rsidR="00156D1F" w:rsidRDefault="00156D1F" w:rsidP="00FE3166">
            <w:pPr>
              <w:pStyle w:val="TableParagraph"/>
              <w:spacing w:line="92" w:lineRule="exact"/>
              <w:rPr>
                <w:sz w:val="16"/>
              </w:rPr>
            </w:pPr>
            <w:r>
              <w:rPr>
                <w:color w:val="5F6062"/>
                <w:sz w:val="16"/>
              </w:rPr>
              <w:t>by heavy</w:t>
            </w:r>
          </w:p>
        </w:tc>
        <w:tc>
          <w:tcPr>
            <w:tcW w:w="1499" w:type="dxa"/>
            <w:tcBorders>
              <w:bottom w:val="nil"/>
            </w:tcBorders>
          </w:tcPr>
          <w:p w14:paraId="3E3DF510" w14:textId="77777777" w:rsidR="00156D1F" w:rsidRDefault="00156D1F" w:rsidP="00FE3166">
            <w:pPr>
              <w:pStyle w:val="TableParagraph"/>
              <w:spacing w:before="96" w:line="175" w:lineRule="auto"/>
              <w:rPr>
                <w:sz w:val="16"/>
              </w:rPr>
            </w:pPr>
            <w:r>
              <w:rPr>
                <w:color w:val="5F6062"/>
                <w:sz w:val="16"/>
              </w:rPr>
              <w:t>Loss of consciousness</w:t>
            </w:r>
          </w:p>
          <w:p w14:paraId="69EF2D18" w14:textId="77777777" w:rsidR="00156D1F" w:rsidRDefault="00156D1F" w:rsidP="00FE3166">
            <w:pPr>
              <w:pStyle w:val="TableParagraph"/>
              <w:spacing w:line="92" w:lineRule="exact"/>
              <w:rPr>
                <w:sz w:val="16"/>
              </w:rPr>
            </w:pPr>
            <w:r>
              <w:rPr>
                <w:color w:val="5F6062"/>
                <w:sz w:val="16"/>
              </w:rPr>
              <w:t>regained once the</w:t>
            </w:r>
          </w:p>
        </w:tc>
        <w:tc>
          <w:tcPr>
            <w:tcW w:w="1602" w:type="dxa"/>
            <w:tcBorders>
              <w:bottom w:val="nil"/>
            </w:tcBorders>
          </w:tcPr>
          <w:p w14:paraId="17A1DA19" w14:textId="77777777" w:rsidR="00156D1F" w:rsidRDefault="00156D1F" w:rsidP="00FE3166">
            <w:pPr>
              <w:pStyle w:val="TableParagraph"/>
              <w:spacing w:before="96" w:line="175" w:lineRule="auto"/>
              <w:rPr>
                <w:sz w:val="16"/>
              </w:rPr>
            </w:pPr>
            <w:r>
              <w:rPr>
                <w:color w:val="5F6062"/>
                <w:sz w:val="16"/>
              </w:rPr>
              <w:t>If left untreated may rapidly progress to</w:t>
            </w:r>
          </w:p>
          <w:p w14:paraId="3738A588" w14:textId="77777777" w:rsidR="00156D1F" w:rsidRDefault="00156D1F" w:rsidP="00FE3166">
            <w:pPr>
              <w:pStyle w:val="TableParagraph"/>
              <w:spacing w:line="92" w:lineRule="exact"/>
              <w:rPr>
                <w:sz w:val="16"/>
              </w:rPr>
            </w:pPr>
            <w:r>
              <w:rPr>
                <w:color w:val="5F6062"/>
                <w:sz w:val="16"/>
              </w:rPr>
              <w:t>HEAT STROKE and</w:t>
            </w:r>
          </w:p>
        </w:tc>
        <w:tc>
          <w:tcPr>
            <w:tcW w:w="1569" w:type="dxa"/>
            <w:tcBorders>
              <w:bottom w:val="nil"/>
            </w:tcBorders>
          </w:tcPr>
          <w:p w14:paraId="133331F1" w14:textId="77777777" w:rsidR="00156D1F" w:rsidRDefault="00156D1F" w:rsidP="00FE3166">
            <w:pPr>
              <w:pStyle w:val="TableParagraph"/>
              <w:spacing w:before="96" w:line="175" w:lineRule="auto"/>
              <w:ind w:right="75"/>
              <w:rPr>
                <w:sz w:val="16"/>
              </w:rPr>
            </w:pPr>
            <w:r>
              <w:rPr>
                <w:color w:val="5F6062"/>
                <w:spacing w:val="-3"/>
                <w:sz w:val="16"/>
              </w:rPr>
              <w:t xml:space="preserve">Loss </w:t>
            </w:r>
            <w:r>
              <w:rPr>
                <w:color w:val="5F6062"/>
                <w:sz w:val="16"/>
              </w:rPr>
              <w:t xml:space="preserve">of </w:t>
            </w:r>
            <w:r>
              <w:rPr>
                <w:color w:val="5F6062"/>
                <w:spacing w:val="-3"/>
                <w:sz w:val="16"/>
              </w:rPr>
              <w:t>consciousness, coma,</w:t>
            </w:r>
          </w:p>
          <w:p w14:paraId="2E0FB4BB" w14:textId="77777777" w:rsidR="00156D1F" w:rsidRDefault="00156D1F" w:rsidP="00FE3166">
            <w:pPr>
              <w:pStyle w:val="TableParagraph"/>
              <w:spacing w:line="92" w:lineRule="exact"/>
              <w:rPr>
                <w:sz w:val="16"/>
              </w:rPr>
            </w:pPr>
            <w:r>
              <w:rPr>
                <w:color w:val="5F6062"/>
                <w:sz w:val="16"/>
              </w:rPr>
              <w:t>organ failure and</w:t>
            </w:r>
          </w:p>
        </w:tc>
      </w:tr>
      <w:tr w:rsidR="00156D1F" w14:paraId="4E8858E1" w14:textId="77777777" w:rsidTr="00FE3166">
        <w:trPr>
          <w:trHeight w:val="280"/>
        </w:trPr>
        <w:tc>
          <w:tcPr>
            <w:tcW w:w="1192" w:type="dxa"/>
            <w:tcBorders>
              <w:top w:val="nil"/>
              <w:bottom w:val="nil"/>
            </w:tcBorders>
            <w:shd w:val="clear" w:color="auto" w:fill="6CB33F"/>
          </w:tcPr>
          <w:p w14:paraId="1753203E" w14:textId="77777777" w:rsidR="00156D1F" w:rsidRDefault="00156D1F" w:rsidP="00FE3166">
            <w:pPr>
              <w:pStyle w:val="TableParagraph"/>
              <w:rPr>
                <w:rFonts w:ascii="Times New Roman"/>
                <w:sz w:val="18"/>
              </w:rPr>
            </w:pPr>
          </w:p>
        </w:tc>
        <w:tc>
          <w:tcPr>
            <w:tcW w:w="1354" w:type="dxa"/>
            <w:tcBorders>
              <w:top w:val="nil"/>
              <w:bottom w:val="nil"/>
            </w:tcBorders>
          </w:tcPr>
          <w:p w14:paraId="6B08B72C" w14:textId="77777777" w:rsidR="00156D1F" w:rsidRDefault="00156D1F" w:rsidP="00FE3166">
            <w:pPr>
              <w:pStyle w:val="TableParagraph"/>
              <w:spacing w:line="142" w:lineRule="exact"/>
              <w:rPr>
                <w:sz w:val="16"/>
              </w:rPr>
            </w:pPr>
            <w:r>
              <w:rPr>
                <w:color w:val="5F6062"/>
                <w:sz w:val="16"/>
              </w:rPr>
              <w:t>sweating and</w:t>
            </w:r>
          </w:p>
          <w:p w14:paraId="48680C38" w14:textId="77777777" w:rsidR="00156D1F" w:rsidRDefault="00156D1F" w:rsidP="00FE3166">
            <w:pPr>
              <w:pStyle w:val="TableParagraph"/>
              <w:spacing w:line="118" w:lineRule="exact"/>
              <w:rPr>
                <w:sz w:val="16"/>
              </w:rPr>
            </w:pPr>
            <w:r>
              <w:rPr>
                <w:color w:val="5F6062"/>
                <w:sz w:val="16"/>
              </w:rPr>
              <w:t>thirst, heralding</w:t>
            </w:r>
          </w:p>
        </w:tc>
        <w:tc>
          <w:tcPr>
            <w:tcW w:w="1499" w:type="dxa"/>
            <w:tcBorders>
              <w:top w:val="nil"/>
              <w:bottom w:val="nil"/>
            </w:tcBorders>
          </w:tcPr>
          <w:p w14:paraId="5AA99649" w14:textId="77777777" w:rsidR="00156D1F" w:rsidRDefault="00156D1F" w:rsidP="00FE3166">
            <w:pPr>
              <w:pStyle w:val="TableParagraph"/>
              <w:spacing w:line="142" w:lineRule="exact"/>
              <w:rPr>
                <w:sz w:val="16"/>
              </w:rPr>
            </w:pPr>
            <w:r>
              <w:rPr>
                <w:color w:val="5F6062"/>
                <w:sz w:val="16"/>
              </w:rPr>
              <w:t>person falls to the</w:t>
            </w:r>
          </w:p>
          <w:p w14:paraId="36F75579" w14:textId="77777777" w:rsidR="00156D1F" w:rsidRDefault="00156D1F" w:rsidP="00FE3166">
            <w:pPr>
              <w:pStyle w:val="TableParagraph"/>
              <w:spacing w:line="118" w:lineRule="exact"/>
              <w:rPr>
                <w:sz w:val="16"/>
              </w:rPr>
            </w:pPr>
            <w:r>
              <w:rPr>
                <w:color w:val="5F6062"/>
                <w:sz w:val="16"/>
              </w:rPr>
              <w:t>ground. Watch for</w:t>
            </w:r>
          </w:p>
        </w:tc>
        <w:tc>
          <w:tcPr>
            <w:tcW w:w="1602" w:type="dxa"/>
            <w:tcBorders>
              <w:top w:val="nil"/>
              <w:bottom w:val="nil"/>
            </w:tcBorders>
          </w:tcPr>
          <w:p w14:paraId="4996CC76" w14:textId="77777777" w:rsidR="00156D1F" w:rsidRDefault="00156D1F" w:rsidP="00FE3166">
            <w:pPr>
              <w:pStyle w:val="TableParagraph"/>
              <w:spacing w:line="168" w:lineRule="exact"/>
              <w:rPr>
                <w:sz w:val="16"/>
              </w:rPr>
            </w:pPr>
            <w:r>
              <w:rPr>
                <w:color w:val="5F6062"/>
                <w:sz w:val="16"/>
              </w:rPr>
              <w:t>subsequent death.</w:t>
            </w:r>
          </w:p>
        </w:tc>
        <w:tc>
          <w:tcPr>
            <w:tcW w:w="1569" w:type="dxa"/>
            <w:tcBorders>
              <w:top w:val="nil"/>
              <w:bottom w:val="nil"/>
            </w:tcBorders>
          </w:tcPr>
          <w:p w14:paraId="392EABFA" w14:textId="77777777" w:rsidR="00156D1F" w:rsidRDefault="00156D1F" w:rsidP="00FE3166">
            <w:pPr>
              <w:pStyle w:val="TableParagraph"/>
              <w:spacing w:line="168" w:lineRule="exact"/>
              <w:rPr>
                <w:sz w:val="16"/>
              </w:rPr>
            </w:pPr>
            <w:r>
              <w:rPr>
                <w:color w:val="5F6062"/>
                <w:sz w:val="16"/>
              </w:rPr>
              <w:t>death.</w:t>
            </w:r>
          </w:p>
        </w:tc>
      </w:tr>
      <w:tr w:rsidR="00156D1F" w14:paraId="380AF0AA" w14:textId="77777777" w:rsidTr="00FE3166">
        <w:trPr>
          <w:trHeight w:val="140"/>
        </w:trPr>
        <w:tc>
          <w:tcPr>
            <w:tcW w:w="1192" w:type="dxa"/>
            <w:tcBorders>
              <w:top w:val="nil"/>
              <w:bottom w:val="nil"/>
            </w:tcBorders>
            <w:shd w:val="clear" w:color="auto" w:fill="6CB33F"/>
          </w:tcPr>
          <w:p w14:paraId="5FC69F61" w14:textId="77777777" w:rsidR="00156D1F" w:rsidRDefault="00156D1F" w:rsidP="00FE3166">
            <w:pPr>
              <w:pStyle w:val="TableParagraph"/>
              <w:rPr>
                <w:rFonts w:ascii="Times New Roman"/>
                <w:sz w:val="8"/>
              </w:rPr>
            </w:pPr>
          </w:p>
        </w:tc>
        <w:tc>
          <w:tcPr>
            <w:tcW w:w="1354" w:type="dxa"/>
            <w:tcBorders>
              <w:top w:val="nil"/>
              <w:bottom w:val="nil"/>
            </w:tcBorders>
          </w:tcPr>
          <w:p w14:paraId="61DD3ECD" w14:textId="77777777" w:rsidR="00156D1F" w:rsidRDefault="00156D1F" w:rsidP="00FE3166">
            <w:pPr>
              <w:pStyle w:val="TableParagraph"/>
              <w:rPr>
                <w:sz w:val="16"/>
              </w:rPr>
            </w:pPr>
            <w:r>
              <w:rPr>
                <w:color w:val="5F6062"/>
                <w:sz w:val="16"/>
              </w:rPr>
              <w:t>impending heat</w:t>
            </w:r>
          </w:p>
        </w:tc>
        <w:tc>
          <w:tcPr>
            <w:tcW w:w="1499" w:type="dxa"/>
            <w:tcBorders>
              <w:top w:val="nil"/>
              <w:bottom w:val="nil"/>
            </w:tcBorders>
          </w:tcPr>
          <w:p w14:paraId="7FBF3442" w14:textId="77777777" w:rsidR="00156D1F" w:rsidRDefault="00156D1F" w:rsidP="00FE3166">
            <w:pPr>
              <w:pStyle w:val="TableParagraph"/>
              <w:rPr>
                <w:sz w:val="16"/>
              </w:rPr>
            </w:pPr>
            <w:r>
              <w:rPr>
                <w:color w:val="5F6062"/>
                <w:sz w:val="16"/>
              </w:rPr>
              <w:t>injuries secondary</w:t>
            </w:r>
          </w:p>
        </w:tc>
        <w:tc>
          <w:tcPr>
            <w:tcW w:w="1602" w:type="dxa"/>
            <w:tcBorders>
              <w:top w:val="nil"/>
              <w:bottom w:val="nil"/>
            </w:tcBorders>
          </w:tcPr>
          <w:p w14:paraId="6544B67E" w14:textId="77777777" w:rsidR="00156D1F" w:rsidRDefault="00156D1F" w:rsidP="00FE3166">
            <w:pPr>
              <w:pStyle w:val="TableParagraph"/>
              <w:rPr>
                <w:rFonts w:ascii="Times New Roman"/>
                <w:sz w:val="8"/>
              </w:rPr>
            </w:pPr>
          </w:p>
        </w:tc>
        <w:tc>
          <w:tcPr>
            <w:tcW w:w="1569" w:type="dxa"/>
            <w:tcBorders>
              <w:top w:val="nil"/>
              <w:bottom w:val="nil"/>
            </w:tcBorders>
          </w:tcPr>
          <w:p w14:paraId="1819FCFB" w14:textId="77777777" w:rsidR="00156D1F" w:rsidRDefault="00156D1F" w:rsidP="00FE3166">
            <w:pPr>
              <w:pStyle w:val="TableParagraph"/>
              <w:rPr>
                <w:rFonts w:ascii="Times New Roman"/>
                <w:sz w:val="8"/>
              </w:rPr>
            </w:pPr>
          </w:p>
        </w:tc>
      </w:tr>
      <w:tr w:rsidR="00156D1F" w14:paraId="269D4E11" w14:textId="77777777" w:rsidTr="00FE3166">
        <w:trPr>
          <w:trHeight w:val="180"/>
        </w:trPr>
        <w:tc>
          <w:tcPr>
            <w:tcW w:w="1192" w:type="dxa"/>
            <w:tcBorders>
              <w:top w:val="nil"/>
            </w:tcBorders>
            <w:shd w:val="clear" w:color="auto" w:fill="6CB33F"/>
          </w:tcPr>
          <w:p w14:paraId="16BF8E8A" w14:textId="77777777" w:rsidR="00156D1F" w:rsidRDefault="00156D1F" w:rsidP="00FE3166">
            <w:pPr>
              <w:pStyle w:val="TableParagraph"/>
              <w:rPr>
                <w:rFonts w:ascii="Times New Roman"/>
                <w:sz w:val="12"/>
              </w:rPr>
            </w:pPr>
          </w:p>
        </w:tc>
        <w:tc>
          <w:tcPr>
            <w:tcW w:w="1354" w:type="dxa"/>
            <w:tcBorders>
              <w:top w:val="nil"/>
            </w:tcBorders>
          </w:tcPr>
          <w:p w14:paraId="4DCC035F" w14:textId="77777777" w:rsidR="00156D1F" w:rsidRDefault="00156D1F" w:rsidP="00FE3166">
            <w:pPr>
              <w:pStyle w:val="TableParagraph"/>
              <w:spacing w:line="168" w:lineRule="exact"/>
              <w:rPr>
                <w:sz w:val="16"/>
              </w:rPr>
            </w:pPr>
            <w:r>
              <w:rPr>
                <w:color w:val="5F6062"/>
                <w:sz w:val="16"/>
              </w:rPr>
              <w:t>exhaustion.</w:t>
            </w:r>
          </w:p>
        </w:tc>
        <w:tc>
          <w:tcPr>
            <w:tcW w:w="1499" w:type="dxa"/>
            <w:tcBorders>
              <w:top w:val="nil"/>
            </w:tcBorders>
          </w:tcPr>
          <w:p w14:paraId="26AA390B" w14:textId="77777777" w:rsidR="00156D1F" w:rsidRDefault="00156D1F" w:rsidP="00FE3166">
            <w:pPr>
              <w:pStyle w:val="TableParagraph"/>
              <w:spacing w:line="168" w:lineRule="exact"/>
              <w:rPr>
                <w:sz w:val="16"/>
              </w:rPr>
            </w:pPr>
            <w:r>
              <w:rPr>
                <w:color w:val="5F6062"/>
                <w:sz w:val="16"/>
              </w:rPr>
              <w:t>to falling.</w:t>
            </w:r>
          </w:p>
        </w:tc>
        <w:tc>
          <w:tcPr>
            <w:tcW w:w="1602" w:type="dxa"/>
            <w:tcBorders>
              <w:top w:val="nil"/>
            </w:tcBorders>
          </w:tcPr>
          <w:p w14:paraId="6B5B1331" w14:textId="77777777" w:rsidR="00156D1F" w:rsidRDefault="00156D1F" w:rsidP="00FE3166">
            <w:pPr>
              <w:pStyle w:val="TableParagraph"/>
              <w:rPr>
                <w:rFonts w:ascii="Times New Roman"/>
                <w:sz w:val="12"/>
              </w:rPr>
            </w:pPr>
          </w:p>
        </w:tc>
        <w:tc>
          <w:tcPr>
            <w:tcW w:w="1569" w:type="dxa"/>
            <w:tcBorders>
              <w:top w:val="nil"/>
            </w:tcBorders>
          </w:tcPr>
          <w:p w14:paraId="1FFC217C" w14:textId="77777777" w:rsidR="00156D1F" w:rsidRDefault="00156D1F" w:rsidP="00FE3166">
            <w:pPr>
              <w:pStyle w:val="TableParagraph"/>
              <w:rPr>
                <w:rFonts w:ascii="Times New Roman"/>
                <w:sz w:val="12"/>
              </w:rPr>
            </w:pPr>
          </w:p>
        </w:tc>
      </w:tr>
      <w:tr w:rsidR="00156D1F" w14:paraId="1D0F6A7C" w14:textId="77777777" w:rsidTr="00FE3166">
        <w:trPr>
          <w:trHeight w:val="340"/>
        </w:trPr>
        <w:tc>
          <w:tcPr>
            <w:tcW w:w="1192" w:type="dxa"/>
            <w:tcBorders>
              <w:bottom w:val="nil"/>
            </w:tcBorders>
            <w:shd w:val="clear" w:color="auto" w:fill="6CB33F"/>
          </w:tcPr>
          <w:p w14:paraId="7BC8A89B" w14:textId="77777777" w:rsidR="00156D1F" w:rsidRDefault="00156D1F" w:rsidP="00FE3166">
            <w:pPr>
              <w:pStyle w:val="TableParagraph"/>
              <w:spacing w:before="41"/>
              <w:rPr>
                <w:rFonts w:ascii="Whitney Semibold"/>
                <w:sz w:val="18"/>
              </w:rPr>
            </w:pPr>
            <w:r>
              <w:rPr>
                <w:rFonts w:ascii="Whitney Semibold"/>
                <w:color w:val="FFFFFF"/>
                <w:sz w:val="18"/>
              </w:rPr>
              <w:t>Treatment</w:t>
            </w:r>
          </w:p>
        </w:tc>
        <w:tc>
          <w:tcPr>
            <w:tcW w:w="1354" w:type="dxa"/>
            <w:tcBorders>
              <w:bottom w:val="nil"/>
            </w:tcBorders>
          </w:tcPr>
          <w:p w14:paraId="5BF9389E" w14:textId="77777777" w:rsidR="00156D1F" w:rsidRDefault="00156D1F" w:rsidP="00FE3166">
            <w:pPr>
              <w:pStyle w:val="TableParagraph"/>
              <w:spacing w:before="44" w:line="166" w:lineRule="exact"/>
              <w:rPr>
                <w:sz w:val="16"/>
              </w:rPr>
            </w:pPr>
            <w:r>
              <w:rPr>
                <w:color w:val="5F6062"/>
                <w:sz w:val="16"/>
              </w:rPr>
              <w:t>Rest in a cool</w:t>
            </w:r>
          </w:p>
          <w:p w14:paraId="02FDFE69" w14:textId="77777777" w:rsidR="00156D1F" w:rsidRDefault="00156D1F" w:rsidP="00FE3166">
            <w:pPr>
              <w:pStyle w:val="TableParagraph"/>
              <w:spacing w:line="118" w:lineRule="exact"/>
              <w:rPr>
                <w:sz w:val="16"/>
              </w:rPr>
            </w:pPr>
            <w:r>
              <w:rPr>
                <w:color w:val="5F6062"/>
                <w:sz w:val="16"/>
              </w:rPr>
              <w:t>place. Give fluids</w:t>
            </w:r>
          </w:p>
        </w:tc>
        <w:tc>
          <w:tcPr>
            <w:tcW w:w="1499" w:type="dxa"/>
            <w:tcBorders>
              <w:bottom w:val="nil"/>
            </w:tcBorders>
          </w:tcPr>
          <w:p w14:paraId="6515C308" w14:textId="77777777" w:rsidR="00156D1F" w:rsidRDefault="00156D1F" w:rsidP="00FE3166">
            <w:pPr>
              <w:pStyle w:val="TableParagraph"/>
              <w:spacing w:before="44" w:line="166" w:lineRule="exact"/>
              <w:rPr>
                <w:sz w:val="16"/>
              </w:rPr>
            </w:pPr>
            <w:r>
              <w:rPr>
                <w:color w:val="5F6062"/>
                <w:sz w:val="16"/>
              </w:rPr>
              <w:t>Keep the individual</w:t>
            </w:r>
          </w:p>
          <w:p w14:paraId="0EE7EF4A" w14:textId="77777777" w:rsidR="00156D1F" w:rsidRDefault="00156D1F" w:rsidP="00FE3166">
            <w:pPr>
              <w:pStyle w:val="TableParagraph"/>
              <w:spacing w:line="118" w:lineRule="exact"/>
              <w:rPr>
                <w:sz w:val="16"/>
              </w:rPr>
            </w:pPr>
            <w:r>
              <w:rPr>
                <w:color w:val="5F6062"/>
                <w:sz w:val="16"/>
              </w:rPr>
              <w:t>lying down with</w:t>
            </w:r>
          </w:p>
        </w:tc>
        <w:tc>
          <w:tcPr>
            <w:tcW w:w="1602" w:type="dxa"/>
            <w:tcBorders>
              <w:bottom w:val="nil"/>
            </w:tcBorders>
          </w:tcPr>
          <w:p w14:paraId="72D3AB25" w14:textId="77777777" w:rsidR="00156D1F" w:rsidRDefault="00156D1F" w:rsidP="00FE3166">
            <w:pPr>
              <w:pStyle w:val="TableParagraph"/>
              <w:spacing w:before="44" w:line="166" w:lineRule="exact"/>
              <w:rPr>
                <w:sz w:val="16"/>
              </w:rPr>
            </w:pPr>
            <w:r>
              <w:rPr>
                <w:color w:val="5F6062"/>
                <w:sz w:val="16"/>
              </w:rPr>
              <w:t>Transfer to a cool</w:t>
            </w:r>
          </w:p>
          <w:p w14:paraId="3D598C4C" w14:textId="77777777" w:rsidR="00156D1F" w:rsidRDefault="00156D1F" w:rsidP="00FE3166">
            <w:pPr>
              <w:pStyle w:val="TableParagraph"/>
              <w:spacing w:line="118" w:lineRule="exact"/>
              <w:rPr>
                <w:sz w:val="16"/>
              </w:rPr>
            </w:pPr>
            <w:r>
              <w:rPr>
                <w:color w:val="5F6062"/>
                <w:sz w:val="16"/>
              </w:rPr>
              <w:t>shaded place. Cool</w:t>
            </w:r>
          </w:p>
        </w:tc>
        <w:tc>
          <w:tcPr>
            <w:tcW w:w="1569" w:type="dxa"/>
            <w:tcBorders>
              <w:bottom w:val="nil"/>
            </w:tcBorders>
          </w:tcPr>
          <w:p w14:paraId="2F682224" w14:textId="77777777" w:rsidR="00156D1F" w:rsidRDefault="00156D1F" w:rsidP="00FE3166">
            <w:pPr>
              <w:pStyle w:val="TableParagraph"/>
              <w:spacing w:before="44" w:line="166" w:lineRule="exact"/>
              <w:rPr>
                <w:sz w:val="16"/>
              </w:rPr>
            </w:pPr>
            <w:r>
              <w:rPr>
                <w:color w:val="5F6062"/>
                <w:sz w:val="16"/>
              </w:rPr>
              <w:t>Call 911! Cool down</w:t>
            </w:r>
          </w:p>
          <w:p w14:paraId="48F29372" w14:textId="77777777" w:rsidR="00156D1F" w:rsidRDefault="00156D1F" w:rsidP="00FE3166">
            <w:pPr>
              <w:pStyle w:val="TableParagraph"/>
              <w:spacing w:line="118" w:lineRule="exact"/>
              <w:rPr>
                <w:sz w:val="16"/>
              </w:rPr>
            </w:pPr>
            <w:r>
              <w:rPr>
                <w:color w:val="5F6062"/>
                <w:sz w:val="16"/>
              </w:rPr>
              <w:t>the body immediately</w:t>
            </w:r>
          </w:p>
        </w:tc>
      </w:tr>
      <w:tr w:rsidR="00156D1F" w14:paraId="675B49FE" w14:textId="77777777" w:rsidTr="00FE3166">
        <w:trPr>
          <w:trHeight w:val="140"/>
        </w:trPr>
        <w:tc>
          <w:tcPr>
            <w:tcW w:w="1192" w:type="dxa"/>
            <w:tcBorders>
              <w:top w:val="nil"/>
              <w:bottom w:val="nil"/>
            </w:tcBorders>
            <w:shd w:val="clear" w:color="auto" w:fill="6CB33F"/>
          </w:tcPr>
          <w:p w14:paraId="7374EA5D" w14:textId="77777777" w:rsidR="00156D1F" w:rsidRDefault="00156D1F" w:rsidP="00FE3166">
            <w:pPr>
              <w:pStyle w:val="TableParagraph"/>
              <w:rPr>
                <w:rFonts w:ascii="Times New Roman"/>
                <w:sz w:val="8"/>
              </w:rPr>
            </w:pPr>
          </w:p>
        </w:tc>
        <w:tc>
          <w:tcPr>
            <w:tcW w:w="1354" w:type="dxa"/>
            <w:tcBorders>
              <w:top w:val="nil"/>
              <w:bottom w:val="nil"/>
            </w:tcBorders>
          </w:tcPr>
          <w:p w14:paraId="674FF163" w14:textId="77777777" w:rsidR="00156D1F" w:rsidRDefault="00156D1F" w:rsidP="00FE3166">
            <w:pPr>
              <w:pStyle w:val="TableParagraph"/>
              <w:rPr>
                <w:sz w:val="16"/>
              </w:rPr>
            </w:pPr>
            <w:r>
              <w:rPr>
                <w:color w:val="5F6062"/>
                <w:sz w:val="16"/>
              </w:rPr>
              <w:t>and salty foods</w:t>
            </w:r>
          </w:p>
        </w:tc>
        <w:tc>
          <w:tcPr>
            <w:tcW w:w="1499" w:type="dxa"/>
            <w:tcBorders>
              <w:top w:val="nil"/>
              <w:bottom w:val="nil"/>
            </w:tcBorders>
          </w:tcPr>
          <w:p w14:paraId="00EC49B2" w14:textId="77777777" w:rsidR="00156D1F" w:rsidRDefault="00156D1F" w:rsidP="00FE3166">
            <w:pPr>
              <w:pStyle w:val="TableParagraph"/>
              <w:rPr>
                <w:sz w:val="16"/>
              </w:rPr>
            </w:pPr>
            <w:r>
              <w:rPr>
                <w:color w:val="5F6062"/>
                <w:sz w:val="16"/>
              </w:rPr>
              <w:t>feet raised, cool</w:t>
            </w:r>
          </w:p>
        </w:tc>
        <w:tc>
          <w:tcPr>
            <w:tcW w:w="1602" w:type="dxa"/>
            <w:tcBorders>
              <w:top w:val="nil"/>
              <w:bottom w:val="nil"/>
            </w:tcBorders>
          </w:tcPr>
          <w:p w14:paraId="03D3E645" w14:textId="77777777" w:rsidR="00156D1F" w:rsidRDefault="00156D1F" w:rsidP="00FE3166">
            <w:pPr>
              <w:pStyle w:val="TableParagraph"/>
              <w:rPr>
                <w:sz w:val="16"/>
              </w:rPr>
            </w:pPr>
            <w:r>
              <w:rPr>
                <w:color w:val="5F6062"/>
                <w:sz w:val="16"/>
              </w:rPr>
              <w:t>body with wet clothes</w:t>
            </w:r>
          </w:p>
        </w:tc>
        <w:tc>
          <w:tcPr>
            <w:tcW w:w="1569" w:type="dxa"/>
            <w:tcBorders>
              <w:top w:val="nil"/>
              <w:bottom w:val="nil"/>
            </w:tcBorders>
          </w:tcPr>
          <w:p w14:paraId="733585CF" w14:textId="77777777" w:rsidR="00156D1F" w:rsidRDefault="00156D1F" w:rsidP="00FE3166">
            <w:pPr>
              <w:pStyle w:val="TableParagraph"/>
              <w:rPr>
                <w:sz w:val="16"/>
              </w:rPr>
            </w:pPr>
            <w:r>
              <w:rPr>
                <w:color w:val="5F6062"/>
                <w:sz w:val="16"/>
              </w:rPr>
              <w:t>with every available</w:t>
            </w:r>
          </w:p>
        </w:tc>
      </w:tr>
      <w:tr w:rsidR="00156D1F" w14:paraId="5E7997B7" w14:textId="77777777" w:rsidTr="00FE3166">
        <w:trPr>
          <w:trHeight w:val="140"/>
        </w:trPr>
        <w:tc>
          <w:tcPr>
            <w:tcW w:w="1192" w:type="dxa"/>
            <w:tcBorders>
              <w:top w:val="nil"/>
              <w:bottom w:val="nil"/>
            </w:tcBorders>
            <w:shd w:val="clear" w:color="auto" w:fill="6CB33F"/>
          </w:tcPr>
          <w:p w14:paraId="34329687" w14:textId="77777777" w:rsidR="00156D1F" w:rsidRDefault="00156D1F" w:rsidP="00FE3166">
            <w:pPr>
              <w:pStyle w:val="TableParagraph"/>
              <w:rPr>
                <w:rFonts w:ascii="Times New Roman"/>
                <w:sz w:val="8"/>
              </w:rPr>
            </w:pPr>
          </w:p>
        </w:tc>
        <w:tc>
          <w:tcPr>
            <w:tcW w:w="1354" w:type="dxa"/>
            <w:tcBorders>
              <w:top w:val="nil"/>
              <w:bottom w:val="nil"/>
            </w:tcBorders>
          </w:tcPr>
          <w:p w14:paraId="13C5792F" w14:textId="77777777" w:rsidR="00156D1F" w:rsidRDefault="00156D1F" w:rsidP="00FE3166">
            <w:pPr>
              <w:pStyle w:val="TableParagraph"/>
              <w:rPr>
                <w:sz w:val="16"/>
              </w:rPr>
            </w:pPr>
            <w:r>
              <w:rPr>
                <w:color w:val="5F6062"/>
                <w:sz w:val="16"/>
              </w:rPr>
              <w:t>or an electrolyte</w:t>
            </w:r>
          </w:p>
        </w:tc>
        <w:tc>
          <w:tcPr>
            <w:tcW w:w="1499" w:type="dxa"/>
            <w:tcBorders>
              <w:top w:val="nil"/>
              <w:bottom w:val="nil"/>
            </w:tcBorders>
          </w:tcPr>
          <w:p w14:paraId="19C6C623" w14:textId="77777777" w:rsidR="00156D1F" w:rsidRDefault="00156D1F" w:rsidP="00FE3166">
            <w:pPr>
              <w:pStyle w:val="TableParagraph"/>
              <w:rPr>
                <w:sz w:val="16"/>
              </w:rPr>
            </w:pPr>
            <w:r>
              <w:rPr>
                <w:color w:val="5F6062"/>
                <w:sz w:val="16"/>
              </w:rPr>
              <w:t>with wet cloths and</w:t>
            </w:r>
          </w:p>
        </w:tc>
        <w:tc>
          <w:tcPr>
            <w:tcW w:w="1602" w:type="dxa"/>
            <w:tcBorders>
              <w:top w:val="nil"/>
              <w:bottom w:val="nil"/>
            </w:tcBorders>
          </w:tcPr>
          <w:p w14:paraId="79ABD9D2" w14:textId="77777777" w:rsidR="00156D1F" w:rsidRDefault="00156D1F" w:rsidP="00FE3166">
            <w:pPr>
              <w:pStyle w:val="TableParagraph"/>
              <w:rPr>
                <w:sz w:val="16"/>
              </w:rPr>
            </w:pPr>
            <w:r>
              <w:rPr>
                <w:color w:val="5F6062"/>
                <w:sz w:val="16"/>
              </w:rPr>
              <w:t>and ventilation.</w:t>
            </w:r>
          </w:p>
        </w:tc>
        <w:tc>
          <w:tcPr>
            <w:tcW w:w="1569" w:type="dxa"/>
            <w:tcBorders>
              <w:top w:val="nil"/>
              <w:bottom w:val="nil"/>
            </w:tcBorders>
          </w:tcPr>
          <w:p w14:paraId="50D03477" w14:textId="77777777" w:rsidR="00156D1F" w:rsidRDefault="00156D1F" w:rsidP="00FE3166">
            <w:pPr>
              <w:pStyle w:val="TableParagraph"/>
              <w:rPr>
                <w:sz w:val="16"/>
              </w:rPr>
            </w:pPr>
            <w:r>
              <w:rPr>
                <w:color w:val="5F6062"/>
                <w:sz w:val="16"/>
              </w:rPr>
              <w:t>means. Most</w:t>
            </w:r>
          </w:p>
        </w:tc>
      </w:tr>
      <w:tr w:rsidR="00156D1F" w14:paraId="3FDDDEC8" w14:textId="77777777" w:rsidTr="00FE3166">
        <w:trPr>
          <w:trHeight w:val="140"/>
        </w:trPr>
        <w:tc>
          <w:tcPr>
            <w:tcW w:w="1192" w:type="dxa"/>
            <w:tcBorders>
              <w:top w:val="nil"/>
              <w:bottom w:val="nil"/>
            </w:tcBorders>
            <w:shd w:val="clear" w:color="auto" w:fill="6CB33F"/>
          </w:tcPr>
          <w:p w14:paraId="79BE2331" w14:textId="77777777" w:rsidR="00156D1F" w:rsidRDefault="00156D1F" w:rsidP="00FE3166">
            <w:pPr>
              <w:pStyle w:val="TableParagraph"/>
              <w:rPr>
                <w:rFonts w:ascii="Times New Roman"/>
                <w:sz w:val="8"/>
              </w:rPr>
            </w:pPr>
          </w:p>
        </w:tc>
        <w:tc>
          <w:tcPr>
            <w:tcW w:w="1354" w:type="dxa"/>
            <w:tcBorders>
              <w:top w:val="nil"/>
              <w:bottom w:val="nil"/>
            </w:tcBorders>
          </w:tcPr>
          <w:p w14:paraId="0E58F53B" w14:textId="77777777" w:rsidR="00156D1F" w:rsidRDefault="00156D1F" w:rsidP="00FE3166">
            <w:pPr>
              <w:pStyle w:val="TableParagraph"/>
              <w:rPr>
                <w:sz w:val="16"/>
              </w:rPr>
            </w:pPr>
            <w:r>
              <w:rPr>
                <w:color w:val="5F6062"/>
                <w:sz w:val="16"/>
              </w:rPr>
              <w:t>solution such as</w:t>
            </w:r>
          </w:p>
        </w:tc>
        <w:tc>
          <w:tcPr>
            <w:tcW w:w="1499" w:type="dxa"/>
            <w:tcBorders>
              <w:top w:val="nil"/>
              <w:bottom w:val="nil"/>
            </w:tcBorders>
          </w:tcPr>
          <w:p w14:paraId="05C4979A" w14:textId="77777777" w:rsidR="00156D1F" w:rsidRDefault="00156D1F" w:rsidP="00FE3166">
            <w:pPr>
              <w:pStyle w:val="TableParagraph"/>
              <w:rPr>
                <w:sz w:val="16"/>
              </w:rPr>
            </w:pPr>
            <w:r>
              <w:rPr>
                <w:color w:val="5F6062"/>
                <w:sz w:val="16"/>
              </w:rPr>
              <w:t>ventilation, provide</w:t>
            </w:r>
          </w:p>
        </w:tc>
        <w:tc>
          <w:tcPr>
            <w:tcW w:w="1602" w:type="dxa"/>
            <w:tcBorders>
              <w:top w:val="nil"/>
              <w:bottom w:val="nil"/>
            </w:tcBorders>
          </w:tcPr>
          <w:p w14:paraId="61F8A724" w14:textId="77777777" w:rsidR="00156D1F" w:rsidRDefault="00156D1F" w:rsidP="00FE3166">
            <w:pPr>
              <w:pStyle w:val="TableParagraph"/>
              <w:rPr>
                <w:sz w:val="16"/>
              </w:rPr>
            </w:pPr>
            <w:r>
              <w:rPr>
                <w:color w:val="5F6062"/>
                <w:sz w:val="16"/>
              </w:rPr>
              <w:t>Replace water and</w:t>
            </w:r>
          </w:p>
        </w:tc>
        <w:tc>
          <w:tcPr>
            <w:tcW w:w="1569" w:type="dxa"/>
            <w:tcBorders>
              <w:top w:val="nil"/>
              <w:bottom w:val="nil"/>
            </w:tcBorders>
          </w:tcPr>
          <w:p w14:paraId="1B30F2C3" w14:textId="77777777" w:rsidR="00156D1F" w:rsidRDefault="00156D1F" w:rsidP="00FE3166">
            <w:pPr>
              <w:pStyle w:val="TableParagraph"/>
              <w:rPr>
                <w:sz w:val="16"/>
              </w:rPr>
            </w:pPr>
            <w:r>
              <w:rPr>
                <w:color w:val="5F6062"/>
                <w:sz w:val="16"/>
              </w:rPr>
              <w:t>effective is ice water</w:t>
            </w:r>
          </w:p>
        </w:tc>
      </w:tr>
      <w:tr w:rsidR="00156D1F" w14:paraId="5EDC97AF" w14:textId="77777777" w:rsidTr="00FE3166">
        <w:trPr>
          <w:trHeight w:val="140"/>
        </w:trPr>
        <w:tc>
          <w:tcPr>
            <w:tcW w:w="1192" w:type="dxa"/>
            <w:tcBorders>
              <w:top w:val="nil"/>
              <w:bottom w:val="nil"/>
            </w:tcBorders>
            <w:shd w:val="clear" w:color="auto" w:fill="6CB33F"/>
          </w:tcPr>
          <w:p w14:paraId="3DB8847C" w14:textId="77777777" w:rsidR="00156D1F" w:rsidRDefault="00156D1F" w:rsidP="00FE3166">
            <w:pPr>
              <w:pStyle w:val="TableParagraph"/>
              <w:rPr>
                <w:rFonts w:ascii="Times New Roman"/>
                <w:sz w:val="8"/>
              </w:rPr>
            </w:pPr>
          </w:p>
        </w:tc>
        <w:tc>
          <w:tcPr>
            <w:tcW w:w="1354" w:type="dxa"/>
            <w:tcBorders>
              <w:top w:val="nil"/>
              <w:bottom w:val="nil"/>
            </w:tcBorders>
          </w:tcPr>
          <w:p w14:paraId="6ABF5D1D" w14:textId="77777777" w:rsidR="00156D1F" w:rsidRDefault="00156D1F" w:rsidP="00FE3166">
            <w:pPr>
              <w:pStyle w:val="TableParagraph"/>
              <w:rPr>
                <w:sz w:val="16"/>
              </w:rPr>
            </w:pPr>
            <w:r>
              <w:rPr>
                <w:color w:val="5F6062"/>
                <w:sz w:val="16"/>
              </w:rPr>
              <w:t>sports drinks. Salt</w:t>
            </w:r>
          </w:p>
        </w:tc>
        <w:tc>
          <w:tcPr>
            <w:tcW w:w="1499" w:type="dxa"/>
            <w:tcBorders>
              <w:top w:val="nil"/>
              <w:bottom w:val="nil"/>
            </w:tcBorders>
          </w:tcPr>
          <w:p w14:paraId="4A641A18" w14:textId="77777777" w:rsidR="00156D1F" w:rsidRDefault="00156D1F" w:rsidP="00FE3166">
            <w:pPr>
              <w:pStyle w:val="TableParagraph"/>
              <w:rPr>
                <w:sz w:val="16"/>
              </w:rPr>
            </w:pPr>
            <w:r>
              <w:rPr>
                <w:color w:val="5F6062"/>
                <w:sz w:val="16"/>
              </w:rPr>
              <w:t>fluids and then</w:t>
            </w:r>
          </w:p>
        </w:tc>
        <w:tc>
          <w:tcPr>
            <w:tcW w:w="1602" w:type="dxa"/>
            <w:tcBorders>
              <w:top w:val="nil"/>
              <w:bottom w:val="nil"/>
            </w:tcBorders>
          </w:tcPr>
          <w:p w14:paraId="7D49EE85" w14:textId="77777777" w:rsidR="00156D1F" w:rsidRDefault="00156D1F" w:rsidP="00FE3166">
            <w:pPr>
              <w:pStyle w:val="TableParagraph"/>
              <w:rPr>
                <w:sz w:val="16"/>
              </w:rPr>
            </w:pPr>
            <w:r>
              <w:rPr>
                <w:color w:val="5F6062"/>
                <w:sz w:val="16"/>
              </w:rPr>
              <w:t xml:space="preserve">salts; </w:t>
            </w:r>
            <w:proofErr w:type="gramStart"/>
            <w:r>
              <w:rPr>
                <w:color w:val="5F6062"/>
                <w:sz w:val="16"/>
              </w:rPr>
              <w:t>a good source</w:t>
            </w:r>
            <w:proofErr w:type="gramEnd"/>
          </w:p>
        </w:tc>
        <w:tc>
          <w:tcPr>
            <w:tcW w:w="1569" w:type="dxa"/>
            <w:tcBorders>
              <w:top w:val="nil"/>
              <w:bottom w:val="nil"/>
            </w:tcBorders>
          </w:tcPr>
          <w:p w14:paraId="1850626C" w14:textId="77777777" w:rsidR="00156D1F" w:rsidRDefault="00156D1F" w:rsidP="00FE3166">
            <w:pPr>
              <w:pStyle w:val="TableParagraph"/>
              <w:rPr>
                <w:sz w:val="16"/>
              </w:rPr>
            </w:pPr>
            <w:r>
              <w:rPr>
                <w:color w:val="5F6062"/>
                <w:sz w:val="16"/>
              </w:rPr>
              <w:t>bath or wet down</w:t>
            </w:r>
          </w:p>
        </w:tc>
      </w:tr>
      <w:tr w:rsidR="00156D1F" w14:paraId="7C6B4D9F" w14:textId="77777777" w:rsidTr="00FE3166">
        <w:trPr>
          <w:trHeight w:val="140"/>
        </w:trPr>
        <w:tc>
          <w:tcPr>
            <w:tcW w:w="1192" w:type="dxa"/>
            <w:tcBorders>
              <w:top w:val="nil"/>
              <w:bottom w:val="nil"/>
            </w:tcBorders>
            <w:shd w:val="clear" w:color="auto" w:fill="6CB33F"/>
          </w:tcPr>
          <w:p w14:paraId="4FB3F53B" w14:textId="77777777" w:rsidR="00156D1F" w:rsidRDefault="00156D1F" w:rsidP="00FE3166">
            <w:pPr>
              <w:pStyle w:val="TableParagraph"/>
              <w:rPr>
                <w:rFonts w:ascii="Times New Roman"/>
                <w:sz w:val="8"/>
              </w:rPr>
            </w:pPr>
          </w:p>
        </w:tc>
        <w:tc>
          <w:tcPr>
            <w:tcW w:w="1354" w:type="dxa"/>
            <w:tcBorders>
              <w:top w:val="nil"/>
              <w:bottom w:val="nil"/>
            </w:tcBorders>
          </w:tcPr>
          <w:p w14:paraId="45D3BE69" w14:textId="77777777" w:rsidR="00156D1F" w:rsidRDefault="00156D1F" w:rsidP="00FE3166">
            <w:pPr>
              <w:pStyle w:val="TableParagraph"/>
              <w:rPr>
                <w:sz w:val="16"/>
              </w:rPr>
            </w:pPr>
            <w:r>
              <w:rPr>
                <w:color w:val="5F6062"/>
                <w:sz w:val="16"/>
              </w:rPr>
              <w:t>tablets are not</w:t>
            </w:r>
          </w:p>
        </w:tc>
        <w:tc>
          <w:tcPr>
            <w:tcW w:w="1499" w:type="dxa"/>
            <w:tcBorders>
              <w:top w:val="nil"/>
              <w:bottom w:val="nil"/>
            </w:tcBorders>
          </w:tcPr>
          <w:p w14:paraId="673CA426" w14:textId="77777777" w:rsidR="00156D1F" w:rsidRDefault="00156D1F" w:rsidP="00FE3166">
            <w:pPr>
              <w:pStyle w:val="TableParagraph"/>
              <w:rPr>
                <w:sz w:val="16"/>
              </w:rPr>
            </w:pPr>
            <w:r>
              <w:rPr>
                <w:color w:val="5F6062"/>
                <w:sz w:val="16"/>
              </w:rPr>
              <w:t>move to a cooler</w:t>
            </w:r>
          </w:p>
        </w:tc>
        <w:tc>
          <w:tcPr>
            <w:tcW w:w="1602" w:type="dxa"/>
            <w:tcBorders>
              <w:top w:val="nil"/>
              <w:bottom w:val="nil"/>
            </w:tcBorders>
          </w:tcPr>
          <w:p w14:paraId="1C723620" w14:textId="77777777" w:rsidR="00156D1F" w:rsidRDefault="00156D1F" w:rsidP="00FE3166">
            <w:pPr>
              <w:pStyle w:val="TableParagraph"/>
              <w:rPr>
                <w:sz w:val="16"/>
              </w:rPr>
            </w:pPr>
            <w:r>
              <w:rPr>
                <w:color w:val="5F6062"/>
                <w:sz w:val="16"/>
              </w:rPr>
              <w:t>for both are sports</w:t>
            </w:r>
          </w:p>
        </w:tc>
        <w:tc>
          <w:tcPr>
            <w:tcW w:w="1569" w:type="dxa"/>
            <w:tcBorders>
              <w:top w:val="nil"/>
              <w:bottom w:val="nil"/>
            </w:tcBorders>
          </w:tcPr>
          <w:p w14:paraId="649327D0" w14:textId="77777777" w:rsidR="00156D1F" w:rsidRDefault="00156D1F" w:rsidP="00FE3166">
            <w:pPr>
              <w:pStyle w:val="TableParagraph"/>
              <w:rPr>
                <w:sz w:val="16"/>
              </w:rPr>
            </w:pPr>
            <w:r>
              <w:rPr>
                <w:color w:val="5F6062"/>
                <w:sz w:val="16"/>
              </w:rPr>
              <w:t>entire body with</w:t>
            </w:r>
          </w:p>
        </w:tc>
      </w:tr>
      <w:tr w:rsidR="00156D1F" w14:paraId="24BE2E8B" w14:textId="77777777" w:rsidTr="00FE3166">
        <w:trPr>
          <w:trHeight w:val="140"/>
        </w:trPr>
        <w:tc>
          <w:tcPr>
            <w:tcW w:w="1192" w:type="dxa"/>
            <w:tcBorders>
              <w:top w:val="nil"/>
              <w:bottom w:val="nil"/>
            </w:tcBorders>
            <w:shd w:val="clear" w:color="auto" w:fill="6CB33F"/>
          </w:tcPr>
          <w:p w14:paraId="3B8DBEA7" w14:textId="77777777" w:rsidR="00156D1F" w:rsidRDefault="00156D1F" w:rsidP="00FE3166">
            <w:pPr>
              <w:pStyle w:val="TableParagraph"/>
              <w:rPr>
                <w:rFonts w:ascii="Times New Roman"/>
                <w:sz w:val="8"/>
              </w:rPr>
            </w:pPr>
          </w:p>
        </w:tc>
        <w:tc>
          <w:tcPr>
            <w:tcW w:w="1354" w:type="dxa"/>
            <w:tcBorders>
              <w:top w:val="nil"/>
              <w:bottom w:val="nil"/>
            </w:tcBorders>
          </w:tcPr>
          <w:p w14:paraId="47D7EA1A" w14:textId="77777777" w:rsidR="00156D1F" w:rsidRDefault="00156D1F" w:rsidP="00FE3166">
            <w:pPr>
              <w:pStyle w:val="TableParagraph"/>
              <w:rPr>
                <w:sz w:val="16"/>
              </w:rPr>
            </w:pPr>
            <w:r>
              <w:rPr>
                <w:color w:val="5F6062"/>
                <w:sz w:val="16"/>
              </w:rPr>
              <w:t>recommended</w:t>
            </w:r>
          </w:p>
        </w:tc>
        <w:tc>
          <w:tcPr>
            <w:tcW w:w="1499" w:type="dxa"/>
            <w:tcBorders>
              <w:top w:val="nil"/>
              <w:bottom w:val="nil"/>
            </w:tcBorders>
          </w:tcPr>
          <w:p w14:paraId="413CD4B1" w14:textId="77777777" w:rsidR="00156D1F" w:rsidRDefault="00156D1F" w:rsidP="00FE3166">
            <w:pPr>
              <w:pStyle w:val="TableParagraph"/>
              <w:rPr>
                <w:sz w:val="16"/>
              </w:rPr>
            </w:pPr>
            <w:r>
              <w:rPr>
                <w:color w:val="5F6062"/>
                <w:sz w:val="16"/>
              </w:rPr>
              <w:t>location. Do not</w:t>
            </w:r>
          </w:p>
        </w:tc>
        <w:tc>
          <w:tcPr>
            <w:tcW w:w="1602" w:type="dxa"/>
            <w:tcBorders>
              <w:top w:val="nil"/>
              <w:bottom w:val="nil"/>
            </w:tcBorders>
          </w:tcPr>
          <w:p w14:paraId="55B85DB2" w14:textId="77777777" w:rsidR="00156D1F" w:rsidRDefault="00156D1F" w:rsidP="00FE3166">
            <w:pPr>
              <w:pStyle w:val="TableParagraph"/>
              <w:rPr>
                <w:sz w:val="16"/>
              </w:rPr>
            </w:pPr>
            <w:r>
              <w:rPr>
                <w:color w:val="5F6062"/>
                <w:sz w:val="16"/>
              </w:rPr>
              <w:t>drinks. Transfer to a</w:t>
            </w:r>
          </w:p>
        </w:tc>
        <w:tc>
          <w:tcPr>
            <w:tcW w:w="1569" w:type="dxa"/>
            <w:tcBorders>
              <w:top w:val="nil"/>
              <w:bottom w:val="nil"/>
            </w:tcBorders>
          </w:tcPr>
          <w:p w14:paraId="1CEF55E0" w14:textId="77777777" w:rsidR="00156D1F" w:rsidRDefault="00156D1F" w:rsidP="00FE3166">
            <w:pPr>
              <w:pStyle w:val="TableParagraph"/>
              <w:rPr>
                <w:sz w:val="16"/>
              </w:rPr>
            </w:pPr>
            <w:r>
              <w:rPr>
                <w:color w:val="5F6062"/>
                <w:sz w:val="16"/>
              </w:rPr>
              <w:t>copious amounts of</w:t>
            </w:r>
          </w:p>
        </w:tc>
      </w:tr>
      <w:tr w:rsidR="00156D1F" w14:paraId="68CEEC73" w14:textId="77777777" w:rsidTr="00FE3166">
        <w:trPr>
          <w:trHeight w:val="140"/>
        </w:trPr>
        <w:tc>
          <w:tcPr>
            <w:tcW w:w="1192" w:type="dxa"/>
            <w:tcBorders>
              <w:top w:val="nil"/>
              <w:bottom w:val="nil"/>
            </w:tcBorders>
            <w:shd w:val="clear" w:color="auto" w:fill="6CB33F"/>
          </w:tcPr>
          <w:p w14:paraId="2F0C5EDE" w14:textId="77777777" w:rsidR="00156D1F" w:rsidRDefault="00156D1F" w:rsidP="00FE3166">
            <w:pPr>
              <w:pStyle w:val="TableParagraph"/>
              <w:rPr>
                <w:rFonts w:ascii="Times New Roman"/>
                <w:sz w:val="8"/>
              </w:rPr>
            </w:pPr>
          </w:p>
        </w:tc>
        <w:tc>
          <w:tcPr>
            <w:tcW w:w="1354" w:type="dxa"/>
            <w:tcBorders>
              <w:top w:val="nil"/>
              <w:bottom w:val="nil"/>
            </w:tcBorders>
          </w:tcPr>
          <w:p w14:paraId="08A0325C" w14:textId="77777777" w:rsidR="00156D1F" w:rsidRDefault="00156D1F" w:rsidP="00FE3166">
            <w:pPr>
              <w:pStyle w:val="TableParagraph"/>
              <w:rPr>
                <w:sz w:val="16"/>
              </w:rPr>
            </w:pPr>
            <w:r>
              <w:rPr>
                <w:color w:val="5F6062"/>
                <w:sz w:val="16"/>
              </w:rPr>
              <w:t>due to the risks of</w:t>
            </w:r>
          </w:p>
        </w:tc>
        <w:tc>
          <w:tcPr>
            <w:tcW w:w="1499" w:type="dxa"/>
            <w:tcBorders>
              <w:top w:val="nil"/>
              <w:bottom w:val="nil"/>
            </w:tcBorders>
          </w:tcPr>
          <w:p w14:paraId="04B8A062" w14:textId="77777777" w:rsidR="00156D1F" w:rsidRDefault="00156D1F" w:rsidP="00FE3166">
            <w:pPr>
              <w:pStyle w:val="TableParagraph"/>
              <w:rPr>
                <w:sz w:val="16"/>
              </w:rPr>
            </w:pPr>
            <w:r>
              <w:rPr>
                <w:color w:val="5F6062"/>
                <w:sz w:val="16"/>
              </w:rPr>
              <w:t>return to work and</w:t>
            </w:r>
          </w:p>
        </w:tc>
        <w:tc>
          <w:tcPr>
            <w:tcW w:w="1602" w:type="dxa"/>
            <w:tcBorders>
              <w:top w:val="nil"/>
              <w:bottom w:val="nil"/>
            </w:tcBorders>
          </w:tcPr>
          <w:p w14:paraId="39ED827B" w14:textId="77777777" w:rsidR="00156D1F" w:rsidRDefault="00156D1F" w:rsidP="00FE3166">
            <w:pPr>
              <w:pStyle w:val="TableParagraph"/>
              <w:rPr>
                <w:sz w:val="16"/>
              </w:rPr>
            </w:pPr>
            <w:r>
              <w:rPr>
                <w:color w:val="5F6062"/>
                <w:sz w:val="16"/>
              </w:rPr>
              <w:t>medical facility for</w:t>
            </w:r>
          </w:p>
        </w:tc>
        <w:tc>
          <w:tcPr>
            <w:tcW w:w="1569" w:type="dxa"/>
            <w:tcBorders>
              <w:top w:val="nil"/>
              <w:bottom w:val="nil"/>
            </w:tcBorders>
          </w:tcPr>
          <w:p w14:paraId="67B368F8" w14:textId="77777777" w:rsidR="00156D1F" w:rsidRDefault="00156D1F" w:rsidP="00FE3166">
            <w:pPr>
              <w:pStyle w:val="TableParagraph"/>
              <w:rPr>
                <w:sz w:val="16"/>
              </w:rPr>
            </w:pPr>
            <w:r>
              <w:rPr>
                <w:color w:val="5F6062"/>
                <w:sz w:val="16"/>
              </w:rPr>
              <w:t>water and vigorously</w:t>
            </w:r>
          </w:p>
        </w:tc>
      </w:tr>
      <w:tr w:rsidR="00156D1F" w14:paraId="7E0FE59E" w14:textId="77777777" w:rsidTr="00FE3166">
        <w:trPr>
          <w:trHeight w:val="320"/>
        </w:trPr>
        <w:tc>
          <w:tcPr>
            <w:tcW w:w="1192" w:type="dxa"/>
            <w:tcBorders>
              <w:top w:val="nil"/>
            </w:tcBorders>
            <w:shd w:val="clear" w:color="auto" w:fill="6CB33F"/>
          </w:tcPr>
          <w:p w14:paraId="6551E95E" w14:textId="77777777" w:rsidR="00156D1F" w:rsidRDefault="00156D1F" w:rsidP="00FE3166">
            <w:pPr>
              <w:pStyle w:val="TableParagraph"/>
              <w:rPr>
                <w:rFonts w:ascii="Times New Roman"/>
                <w:sz w:val="18"/>
              </w:rPr>
            </w:pPr>
          </w:p>
        </w:tc>
        <w:tc>
          <w:tcPr>
            <w:tcW w:w="1354" w:type="dxa"/>
            <w:tcBorders>
              <w:top w:val="nil"/>
            </w:tcBorders>
          </w:tcPr>
          <w:p w14:paraId="1272A314" w14:textId="77777777" w:rsidR="00156D1F" w:rsidRDefault="00156D1F" w:rsidP="00FE3166">
            <w:pPr>
              <w:pStyle w:val="TableParagraph"/>
              <w:spacing w:line="168" w:lineRule="exact"/>
              <w:rPr>
                <w:sz w:val="16"/>
              </w:rPr>
            </w:pPr>
            <w:r>
              <w:rPr>
                <w:color w:val="5F6062"/>
                <w:sz w:val="16"/>
              </w:rPr>
              <w:t>overdosing.</w:t>
            </w:r>
          </w:p>
        </w:tc>
        <w:tc>
          <w:tcPr>
            <w:tcW w:w="1499" w:type="dxa"/>
            <w:tcBorders>
              <w:top w:val="nil"/>
            </w:tcBorders>
          </w:tcPr>
          <w:p w14:paraId="52E6E745" w14:textId="77777777" w:rsidR="00156D1F" w:rsidRDefault="00156D1F" w:rsidP="00FE3166">
            <w:pPr>
              <w:pStyle w:val="TableParagraph"/>
              <w:spacing w:before="27" w:line="175" w:lineRule="auto"/>
              <w:rPr>
                <w:sz w:val="16"/>
              </w:rPr>
            </w:pPr>
            <w:r>
              <w:rPr>
                <w:color w:val="5F6062"/>
                <w:sz w:val="16"/>
              </w:rPr>
              <w:t>refer for medical evaluation.</w:t>
            </w:r>
          </w:p>
        </w:tc>
        <w:tc>
          <w:tcPr>
            <w:tcW w:w="1602" w:type="dxa"/>
            <w:tcBorders>
              <w:top w:val="nil"/>
            </w:tcBorders>
          </w:tcPr>
          <w:p w14:paraId="7F4313F6" w14:textId="77777777" w:rsidR="00156D1F" w:rsidRDefault="00156D1F" w:rsidP="00FE3166">
            <w:pPr>
              <w:pStyle w:val="TableParagraph"/>
              <w:spacing w:line="168" w:lineRule="exact"/>
              <w:rPr>
                <w:sz w:val="16"/>
              </w:rPr>
            </w:pPr>
            <w:r>
              <w:rPr>
                <w:color w:val="5F6062"/>
                <w:sz w:val="16"/>
              </w:rPr>
              <w:t>evaluation.</w:t>
            </w:r>
          </w:p>
        </w:tc>
        <w:tc>
          <w:tcPr>
            <w:tcW w:w="1569" w:type="dxa"/>
            <w:tcBorders>
              <w:top w:val="nil"/>
            </w:tcBorders>
          </w:tcPr>
          <w:p w14:paraId="4B61B2A9" w14:textId="77777777" w:rsidR="00156D1F" w:rsidRDefault="00156D1F" w:rsidP="00FE3166">
            <w:pPr>
              <w:pStyle w:val="TableParagraph"/>
              <w:spacing w:line="168" w:lineRule="exact"/>
              <w:rPr>
                <w:sz w:val="16"/>
              </w:rPr>
            </w:pPr>
            <w:r>
              <w:rPr>
                <w:color w:val="5F6062"/>
                <w:sz w:val="16"/>
              </w:rPr>
              <w:t>fan.</w:t>
            </w:r>
          </w:p>
        </w:tc>
      </w:tr>
    </w:tbl>
    <w:p w14:paraId="34F46A1F" w14:textId="77777777" w:rsidR="00156D1F" w:rsidRDefault="00156D1F" w:rsidP="00A25468">
      <w:pPr>
        <w:pStyle w:val="BodyText"/>
        <w:spacing w:before="66"/>
        <w:ind w:left="0"/>
        <w:rPr>
          <w:rFonts w:ascii="Verdana" w:eastAsiaTheme="minorHAnsi" w:hAnsi="Verdana"/>
        </w:rPr>
      </w:pPr>
    </w:p>
    <w:p w14:paraId="01DD12AA" w14:textId="77777777" w:rsidR="00156D1F" w:rsidRPr="00156D1F" w:rsidRDefault="00156D1F" w:rsidP="00156D1F">
      <w:pPr>
        <w:pStyle w:val="BodyText"/>
        <w:spacing w:before="66"/>
        <w:ind w:left="0"/>
        <w:rPr>
          <w:rFonts w:ascii="Verdana" w:eastAsiaTheme="minorHAnsi" w:hAnsi="Verdana"/>
        </w:rPr>
      </w:pPr>
      <w:r w:rsidRPr="00156D1F">
        <w:rPr>
          <w:rFonts w:ascii="Verdana" w:eastAsiaTheme="minorHAnsi" w:hAnsi="Verdana"/>
        </w:rPr>
        <w:t>Combat the dangers of heat stress with three steps:</w:t>
      </w:r>
    </w:p>
    <w:p w14:paraId="1921B1D7" w14:textId="3BF78AF1" w:rsidR="00156D1F" w:rsidRPr="00156D1F" w:rsidRDefault="00156D1F" w:rsidP="00156D1F">
      <w:pPr>
        <w:pStyle w:val="BodyText"/>
        <w:numPr>
          <w:ilvl w:val="0"/>
          <w:numId w:val="22"/>
        </w:numPr>
        <w:spacing w:before="66"/>
        <w:rPr>
          <w:rFonts w:ascii="Verdana" w:eastAsiaTheme="minorHAnsi" w:hAnsi="Verdana"/>
        </w:rPr>
      </w:pPr>
      <w:r w:rsidRPr="00156D1F">
        <w:rPr>
          <w:rFonts w:ascii="Verdana" w:eastAsiaTheme="minorHAnsi" w:hAnsi="Verdana"/>
        </w:rPr>
        <w:t xml:space="preserve">Hydrate. Adequate hydration is the most </w:t>
      </w:r>
      <w:proofErr w:type="gramStart"/>
      <w:r w:rsidRPr="00156D1F">
        <w:rPr>
          <w:rFonts w:ascii="Verdana" w:eastAsiaTheme="minorHAnsi" w:hAnsi="Verdana"/>
        </w:rPr>
        <w:t>important step</w:t>
      </w:r>
      <w:proofErr w:type="gramEnd"/>
      <w:r w:rsidRPr="00156D1F">
        <w:rPr>
          <w:rFonts w:ascii="Verdana" w:eastAsiaTheme="minorHAnsi" w:hAnsi="Verdana"/>
        </w:rPr>
        <w:t xml:space="preserve"> to combating heat stress. When the heat index is high, workers should drink copious amounts of water (1 quart every hour) frequently throughout the work shift: they should consume at least one cup every 15 minutes or a pint every half hour to stay properly hydrated. Workers should be trained not to wait until they feel thirsty to drink; if they are thirsty they may already have lost 2% of their body’s water. The onset of heat exhaustion can begin after losing 3% of the body’s water and heat stroke occurs once 8% is lost. The bottom line is, if a worker is not regularly urinating or has dark urine, they are dehydrated and at risk for heat illnesses.</w:t>
      </w:r>
    </w:p>
    <w:p w14:paraId="5CE38CBE" w14:textId="77777777" w:rsidR="00156D1F" w:rsidRDefault="00156D1F" w:rsidP="00156D1F">
      <w:pPr>
        <w:pStyle w:val="BodyText"/>
        <w:numPr>
          <w:ilvl w:val="0"/>
          <w:numId w:val="22"/>
        </w:numPr>
        <w:spacing w:before="66"/>
        <w:rPr>
          <w:rFonts w:ascii="Verdana" w:eastAsiaTheme="minorHAnsi" w:hAnsi="Verdana"/>
        </w:rPr>
      </w:pPr>
      <w:r w:rsidRPr="00156D1F">
        <w:rPr>
          <w:rFonts w:ascii="Verdana" w:eastAsiaTheme="minorHAnsi" w:hAnsi="Verdana"/>
        </w:rPr>
        <w:t>Assess. Evaluate the relative danger of the worksite. Be aware that high heat, high humidity, low air circulation all create a more dangerous working</w:t>
      </w:r>
      <w:r>
        <w:rPr>
          <w:rFonts w:ascii="Verdana" w:eastAsiaTheme="minorHAnsi" w:hAnsi="Verdana"/>
        </w:rPr>
        <w:t xml:space="preserve"> </w:t>
      </w:r>
      <w:r w:rsidRPr="00156D1F">
        <w:rPr>
          <w:rFonts w:ascii="Verdana" w:eastAsiaTheme="minorHAnsi" w:hAnsi="Verdana"/>
        </w:rPr>
        <w:t xml:space="preserve">environment. Any time more than one of these variables is present, the danger is compounded. Wearing non-breathable clothing in combination with heavy </w:t>
      </w:r>
      <w:r w:rsidRPr="00156D1F">
        <w:rPr>
          <w:rFonts w:ascii="Verdana" w:eastAsiaTheme="minorHAnsi" w:hAnsi="Verdana"/>
        </w:rPr>
        <w:lastRenderedPageBreak/>
        <w:t>exertion compounds these worksite risks and can alone lead to heat illness.</w:t>
      </w:r>
    </w:p>
    <w:p w14:paraId="176C9979" w14:textId="40321885" w:rsidR="00156D1F" w:rsidRPr="00156D1F" w:rsidRDefault="00156D1F" w:rsidP="00156D1F">
      <w:pPr>
        <w:pStyle w:val="BodyText"/>
        <w:numPr>
          <w:ilvl w:val="0"/>
          <w:numId w:val="22"/>
        </w:numPr>
        <w:spacing w:before="66"/>
        <w:rPr>
          <w:rFonts w:ascii="Verdana" w:eastAsiaTheme="minorHAnsi" w:hAnsi="Verdana"/>
        </w:rPr>
      </w:pPr>
      <w:r w:rsidRPr="00156D1F">
        <w:rPr>
          <w:rFonts w:ascii="Verdana" w:eastAsiaTheme="minorHAnsi" w:hAnsi="Verdana"/>
        </w:rPr>
        <w:t>Acclimate. If an employee is new to a job or is returning after time away: ease them back into full-time work over the course of 5 days. Starting at half time (50% effort) and increasing to full time (increase by 10% each day) can greatly reduce the employee’s susceptibility to heat stress.</w:t>
      </w:r>
    </w:p>
    <w:p w14:paraId="3C48748C" w14:textId="209B3A7B" w:rsidR="00156D1F" w:rsidRDefault="00156D1F" w:rsidP="00156D1F">
      <w:pPr>
        <w:pStyle w:val="BodyText"/>
        <w:spacing w:before="66"/>
        <w:ind w:left="0"/>
        <w:rPr>
          <w:rFonts w:ascii="Verdana" w:eastAsiaTheme="minorHAnsi" w:hAnsi="Verdana"/>
        </w:rPr>
      </w:pPr>
      <w:r w:rsidRPr="00156D1F">
        <w:rPr>
          <w:rFonts w:ascii="Verdana" w:eastAsiaTheme="minorHAnsi" w:hAnsi="Verdana"/>
        </w:rPr>
        <w:t>There is a new app available for both Android and iPhone called OSHA-NIOSH Heat Safety Tool. Anyone using the current version of the OSHA Heat Safety Tool is encouraged to download this new app.</w:t>
      </w:r>
    </w:p>
    <w:p w14:paraId="7E1F31E8" w14:textId="77777777" w:rsidR="00156D1F" w:rsidRPr="00156D1F" w:rsidRDefault="00156D1F" w:rsidP="00156D1F">
      <w:pPr>
        <w:pStyle w:val="BodyText"/>
        <w:spacing w:before="66"/>
        <w:ind w:left="0"/>
        <w:rPr>
          <w:rFonts w:ascii="Verdana" w:eastAsiaTheme="minorHAnsi" w:hAnsi="Verdana"/>
        </w:rPr>
      </w:pPr>
    </w:p>
    <w:p w14:paraId="1D2CF4A0" w14:textId="42AC048A" w:rsidR="00A25468" w:rsidRDefault="00156D1F" w:rsidP="00156D1F">
      <w:pPr>
        <w:pStyle w:val="BodyText"/>
        <w:spacing w:before="66"/>
        <w:ind w:left="0"/>
        <w:rPr>
          <w:rFonts w:ascii="Verdana" w:eastAsiaTheme="minorHAnsi" w:hAnsi="Verdana"/>
        </w:rPr>
      </w:pPr>
      <w:r w:rsidRPr="00156D1F">
        <w:rPr>
          <w:rFonts w:ascii="Verdana" w:eastAsiaTheme="minorHAnsi" w:hAnsi="Verdana"/>
        </w:rPr>
        <w:t>If you would like more information on heat stress or heat stress training materials, please contact Archbright at safety@archbright.com.</w:t>
      </w:r>
    </w:p>
    <w:p w14:paraId="78BF4223" w14:textId="0E2ED5BD" w:rsidR="00156D1F" w:rsidRDefault="00156D1F" w:rsidP="00EC57DF">
      <w:pPr>
        <w:pStyle w:val="BodyText"/>
        <w:spacing w:before="66"/>
        <w:ind w:left="0"/>
        <w:rPr>
          <w:rFonts w:ascii="Verdana" w:eastAsiaTheme="minorHAnsi" w:hAnsi="Verdana"/>
        </w:rPr>
      </w:pPr>
    </w:p>
    <w:p w14:paraId="35CA6D48" w14:textId="77777777" w:rsidR="00156D1F" w:rsidRDefault="00156D1F" w:rsidP="00EC57DF">
      <w:pPr>
        <w:pStyle w:val="BodyText"/>
        <w:spacing w:before="66"/>
        <w:ind w:left="0"/>
        <w:rPr>
          <w:rFonts w:ascii="Verdana" w:eastAsiaTheme="minorHAnsi" w:hAnsi="Verdana"/>
        </w:rPr>
      </w:pPr>
    </w:p>
    <w:p w14:paraId="29E3A3E2" w14:textId="451AEEC5" w:rsidR="00EC57DF" w:rsidRPr="00EC57DF" w:rsidRDefault="00EC57DF" w:rsidP="00EC57DF">
      <w:pPr>
        <w:pStyle w:val="BodyText"/>
        <w:spacing w:before="66"/>
        <w:ind w:left="0"/>
        <w:rPr>
          <w:rFonts w:ascii="Verdana" w:eastAsiaTheme="minorHAnsi" w:hAnsi="Verdana"/>
          <w:b/>
        </w:rPr>
      </w:pPr>
      <w:r w:rsidRPr="00EC57DF">
        <w:rPr>
          <w:rFonts w:ascii="Verdana" w:eastAsiaTheme="minorHAnsi" w:hAnsi="Verdana"/>
          <w:b/>
        </w:rPr>
        <w:t xml:space="preserve">Monthly Webinar </w:t>
      </w:r>
    </w:p>
    <w:p w14:paraId="073C3037" w14:textId="77777777" w:rsidR="00156D1F" w:rsidRPr="00156D1F" w:rsidRDefault="00156D1F" w:rsidP="00156D1F">
      <w:pPr>
        <w:rPr>
          <w:szCs w:val="20"/>
        </w:rPr>
      </w:pPr>
      <w:r w:rsidRPr="00156D1F">
        <w:rPr>
          <w:szCs w:val="20"/>
        </w:rPr>
        <w:t>July 2017</w:t>
      </w:r>
    </w:p>
    <w:p w14:paraId="2B1261D5" w14:textId="77777777" w:rsidR="00156D1F" w:rsidRPr="00156D1F" w:rsidRDefault="00156D1F" w:rsidP="00156D1F">
      <w:pPr>
        <w:rPr>
          <w:szCs w:val="20"/>
        </w:rPr>
      </w:pPr>
      <w:r w:rsidRPr="00156D1F">
        <w:rPr>
          <w:szCs w:val="20"/>
        </w:rPr>
        <w:t xml:space="preserve">Stay </w:t>
      </w:r>
      <w:proofErr w:type="gramStart"/>
      <w:r w:rsidRPr="00156D1F">
        <w:rPr>
          <w:szCs w:val="20"/>
        </w:rPr>
        <w:t>At</w:t>
      </w:r>
      <w:proofErr w:type="gramEnd"/>
      <w:r w:rsidRPr="00156D1F">
        <w:rPr>
          <w:szCs w:val="20"/>
        </w:rPr>
        <w:t xml:space="preserve"> Work</w:t>
      </w:r>
    </w:p>
    <w:p w14:paraId="7B3FF687" w14:textId="77777777" w:rsidR="00156D1F" w:rsidRPr="00156D1F" w:rsidRDefault="00156D1F" w:rsidP="00156D1F">
      <w:pPr>
        <w:rPr>
          <w:szCs w:val="20"/>
        </w:rPr>
      </w:pPr>
      <w:r w:rsidRPr="00156D1F">
        <w:rPr>
          <w:szCs w:val="20"/>
        </w:rPr>
        <w:t>Thursday, July 20, 2017</w:t>
      </w:r>
    </w:p>
    <w:p w14:paraId="5FE18430" w14:textId="77777777" w:rsidR="00156D1F" w:rsidRPr="00156D1F" w:rsidRDefault="00156D1F" w:rsidP="00156D1F">
      <w:pPr>
        <w:rPr>
          <w:szCs w:val="20"/>
        </w:rPr>
      </w:pPr>
      <w:r w:rsidRPr="00156D1F">
        <w:rPr>
          <w:szCs w:val="20"/>
        </w:rPr>
        <w:t>2:15 p.m.</w:t>
      </w:r>
    </w:p>
    <w:p w14:paraId="69991C0C" w14:textId="77777777" w:rsidR="00156D1F" w:rsidRPr="00156D1F" w:rsidRDefault="00156D1F" w:rsidP="00156D1F">
      <w:pPr>
        <w:rPr>
          <w:szCs w:val="20"/>
        </w:rPr>
      </w:pPr>
      <w:r w:rsidRPr="00156D1F">
        <w:rPr>
          <w:szCs w:val="20"/>
        </w:rPr>
        <w:t>Return to work programs are an effective way to minimize costs associated with injuries and to help employees return to full productivity in the shortest possible time. Stay at Work</w:t>
      </w:r>
    </w:p>
    <w:p w14:paraId="31D5E6CE" w14:textId="77777777" w:rsidR="00156D1F" w:rsidRPr="00156D1F" w:rsidRDefault="00156D1F" w:rsidP="00156D1F">
      <w:pPr>
        <w:rPr>
          <w:szCs w:val="20"/>
        </w:rPr>
      </w:pPr>
      <w:r w:rsidRPr="00156D1F">
        <w:rPr>
          <w:szCs w:val="20"/>
        </w:rPr>
        <w:t>(SAW) is a financial incentive program through Washington Department of Labor &amp; Industries that can potentially pay up to 50% of an injured employee’s wages while working in an approved, temporary light-duty job.</w:t>
      </w:r>
    </w:p>
    <w:p w14:paraId="76043CA2" w14:textId="77777777" w:rsidR="00156D1F" w:rsidRPr="00156D1F" w:rsidRDefault="00156D1F" w:rsidP="00156D1F">
      <w:pPr>
        <w:rPr>
          <w:szCs w:val="20"/>
        </w:rPr>
      </w:pPr>
      <w:r w:rsidRPr="00156D1F">
        <w:rPr>
          <w:szCs w:val="20"/>
        </w:rPr>
        <w:t>Topics include:</w:t>
      </w:r>
    </w:p>
    <w:p w14:paraId="1B96FDDA" w14:textId="1B591352" w:rsidR="00156D1F" w:rsidRPr="00156D1F" w:rsidRDefault="00156D1F" w:rsidP="00156D1F">
      <w:pPr>
        <w:pStyle w:val="ListParagraph"/>
        <w:numPr>
          <w:ilvl w:val="0"/>
          <w:numId w:val="20"/>
        </w:numPr>
        <w:rPr>
          <w:szCs w:val="20"/>
        </w:rPr>
      </w:pPr>
      <w:r w:rsidRPr="00156D1F">
        <w:rPr>
          <w:szCs w:val="20"/>
        </w:rPr>
        <w:t>What is SAW?</w:t>
      </w:r>
    </w:p>
    <w:p w14:paraId="0A95565C" w14:textId="4E0C42BA" w:rsidR="00156D1F" w:rsidRPr="00156D1F" w:rsidRDefault="00156D1F" w:rsidP="00156D1F">
      <w:pPr>
        <w:pStyle w:val="ListParagraph"/>
        <w:numPr>
          <w:ilvl w:val="0"/>
          <w:numId w:val="20"/>
        </w:numPr>
        <w:rPr>
          <w:szCs w:val="20"/>
        </w:rPr>
      </w:pPr>
      <w:r w:rsidRPr="00156D1F">
        <w:rPr>
          <w:szCs w:val="20"/>
        </w:rPr>
        <w:t>How does SAW help my organization?</w:t>
      </w:r>
    </w:p>
    <w:p w14:paraId="1E1EC9D0" w14:textId="7BE17247" w:rsidR="00156D1F" w:rsidRPr="00156D1F" w:rsidRDefault="00156D1F" w:rsidP="00156D1F">
      <w:pPr>
        <w:pStyle w:val="ListParagraph"/>
        <w:numPr>
          <w:ilvl w:val="0"/>
          <w:numId w:val="20"/>
        </w:numPr>
        <w:rPr>
          <w:szCs w:val="20"/>
        </w:rPr>
      </w:pPr>
      <w:r w:rsidRPr="00156D1F">
        <w:rPr>
          <w:szCs w:val="20"/>
        </w:rPr>
        <w:t>Who is qualified?</w:t>
      </w:r>
    </w:p>
    <w:p w14:paraId="1E30E17E" w14:textId="5515A278" w:rsidR="00156D1F" w:rsidRPr="00156D1F" w:rsidRDefault="00156D1F" w:rsidP="00156D1F">
      <w:pPr>
        <w:pStyle w:val="ListParagraph"/>
        <w:numPr>
          <w:ilvl w:val="0"/>
          <w:numId w:val="20"/>
        </w:numPr>
        <w:rPr>
          <w:szCs w:val="20"/>
        </w:rPr>
      </w:pPr>
      <w:r w:rsidRPr="00156D1F">
        <w:rPr>
          <w:szCs w:val="20"/>
        </w:rPr>
        <w:t>The SAW application process</w:t>
      </w:r>
    </w:p>
    <w:p w14:paraId="52AEEA71" w14:textId="61639D05" w:rsidR="00156D1F" w:rsidRPr="00156D1F" w:rsidRDefault="00156D1F" w:rsidP="00156D1F">
      <w:pPr>
        <w:rPr>
          <w:szCs w:val="20"/>
        </w:rPr>
      </w:pPr>
      <w:r w:rsidRPr="00156D1F">
        <w:rPr>
          <w:szCs w:val="20"/>
        </w:rPr>
        <w:t xml:space="preserve">This monthly webinar is complimentary for all members of our Workers’ Compensation and Retrospective Rating Programs. Attendees will receive </w:t>
      </w:r>
      <w:r>
        <w:rPr>
          <w:szCs w:val="20"/>
        </w:rPr>
        <w:t xml:space="preserve">an email approximately one week </w:t>
      </w:r>
      <w:r w:rsidRPr="00156D1F">
        <w:rPr>
          <w:szCs w:val="20"/>
        </w:rPr>
        <w:t>before the webinar with participation and login information. For questions or more information on our webinar training, please contact safety@ archbright.com.</w:t>
      </w:r>
    </w:p>
    <w:p w14:paraId="1B64D8E7" w14:textId="77777777" w:rsidR="00156D1F" w:rsidRPr="00156D1F" w:rsidRDefault="00156D1F" w:rsidP="00156D1F">
      <w:pPr>
        <w:rPr>
          <w:szCs w:val="20"/>
        </w:rPr>
      </w:pPr>
      <w:r w:rsidRPr="00156D1F">
        <w:rPr>
          <w:szCs w:val="20"/>
        </w:rPr>
        <w:t>The webinar is also available to members not enrolled in our Workers’ Compensation or Retrospective Rating Programs for a registration fee. Please visit Archbright.com or contact info@archbright.com for more information.</w:t>
      </w:r>
    </w:p>
    <w:p w14:paraId="06E1E652" w14:textId="77777777" w:rsidR="00156D1F" w:rsidRPr="00156D1F" w:rsidRDefault="00156D1F" w:rsidP="00156D1F">
      <w:pPr>
        <w:rPr>
          <w:szCs w:val="20"/>
        </w:rPr>
      </w:pPr>
      <w:r w:rsidRPr="00156D1F">
        <w:rPr>
          <w:szCs w:val="20"/>
        </w:rPr>
        <w:t>Safety is a State of Mind. Accidents are an Absence of Mind.</w:t>
      </w:r>
    </w:p>
    <w:p w14:paraId="234D8772" w14:textId="77777777" w:rsidR="00156D1F" w:rsidRPr="00156D1F" w:rsidRDefault="00156D1F" w:rsidP="00156D1F">
      <w:pPr>
        <w:rPr>
          <w:szCs w:val="20"/>
        </w:rPr>
      </w:pPr>
    </w:p>
    <w:p w14:paraId="7051E7F8" w14:textId="77777777" w:rsidR="00156D1F" w:rsidRPr="00156D1F" w:rsidRDefault="00156D1F" w:rsidP="00156D1F">
      <w:pPr>
        <w:rPr>
          <w:b/>
          <w:szCs w:val="20"/>
        </w:rPr>
      </w:pPr>
      <w:r w:rsidRPr="00156D1F">
        <w:rPr>
          <w:b/>
          <w:szCs w:val="20"/>
        </w:rPr>
        <w:t>Did You Know?</w:t>
      </w:r>
    </w:p>
    <w:p w14:paraId="113D00D8" w14:textId="77777777" w:rsidR="00156D1F" w:rsidRPr="00156D1F" w:rsidRDefault="00156D1F" w:rsidP="00156D1F">
      <w:pPr>
        <w:rPr>
          <w:szCs w:val="20"/>
        </w:rPr>
      </w:pPr>
      <w:r w:rsidRPr="00156D1F">
        <w:rPr>
          <w:szCs w:val="20"/>
        </w:rPr>
        <w:lastRenderedPageBreak/>
        <w:t>75% of Americans are chronically dehydrated. A survey found that although Americans drank about eight servings of hydrating beverages per day, this is offset by drinking caffeinated drinks and alcohol and eating a diet high in sodium.</w:t>
      </w:r>
    </w:p>
    <w:p w14:paraId="6C5619BC" w14:textId="77777777" w:rsidR="00156D1F" w:rsidRPr="00156D1F" w:rsidRDefault="00156D1F" w:rsidP="00156D1F">
      <w:pPr>
        <w:rPr>
          <w:szCs w:val="20"/>
        </w:rPr>
      </w:pPr>
      <w:r w:rsidRPr="00156D1F">
        <w:rPr>
          <w:szCs w:val="20"/>
        </w:rPr>
        <w:t>Recent studies found that young people who were mildly dehydrated were much more likely to feel fatigued during moderate exercise and even when sedentary.</w:t>
      </w:r>
    </w:p>
    <w:p w14:paraId="70E86128" w14:textId="3E263523" w:rsidR="00CA2D95" w:rsidRPr="00033202" w:rsidRDefault="00156D1F" w:rsidP="00156D1F">
      <w:pPr>
        <w:rPr>
          <w:szCs w:val="20"/>
        </w:rPr>
        <w:sectPr w:rsidR="00CA2D95" w:rsidRPr="00033202" w:rsidSect="005F328F">
          <w:pgSz w:w="12240" w:h="15840" w:code="1"/>
          <w:pgMar w:top="1440" w:right="1440" w:bottom="1296" w:left="1440" w:header="720" w:footer="288" w:gutter="0"/>
          <w:cols w:space="720"/>
          <w:docGrid w:linePitch="360"/>
        </w:sectPr>
      </w:pPr>
      <w:r w:rsidRPr="00156D1F">
        <w:rPr>
          <w:szCs w:val="20"/>
        </w:rPr>
        <w:t>Unsurprisingly, fatigue is a common dehydration symptom, and it’s said to be the No. 1 cause of midday fatigue.</w:t>
      </w:r>
      <w:r w:rsidR="00163F27" w:rsidRPr="00AC0EF9">
        <w:rPr>
          <w:szCs w:val="20"/>
        </w:rPr>
        <w:br w:type="page"/>
      </w:r>
    </w:p>
    <w:p w14:paraId="1DE43E35" w14:textId="77777777"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7337248A"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6374BE">
        <w:rPr>
          <w:szCs w:val="20"/>
        </w:rPr>
        <w:t>6501 6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624A" w14:textId="77777777" w:rsidR="00E44971" w:rsidRDefault="00E44971" w:rsidP="000366BF">
      <w:pPr>
        <w:spacing w:after="0" w:line="240" w:lineRule="auto"/>
      </w:pPr>
      <w:r>
        <w:separator/>
      </w:r>
    </w:p>
  </w:endnote>
  <w:endnote w:type="continuationSeparator" w:id="0">
    <w:p w14:paraId="795094FC" w14:textId="77777777"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F1F7" w14:textId="77777777" w:rsidR="00E44971" w:rsidRDefault="00E44971" w:rsidP="000366BF">
      <w:pPr>
        <w:spacing w:after="0" w:line="240" w:lineRule="auto"/>
      </w:pPr>
      <w:r>
        <w:separator/>
      </w:r>
    </w:p>
  </w:footnote>
  <w:footnote w:type="continuationSeparator" w:id="0">
    <w:p w14:paraId="3DFE62B4" w14:textId="77777777"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897"/>
    <w:multiLevelType w:val="hybridMultilevel"/>
    <w:tmpl w:val="AAB69A54"/>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B34CA"/>
    <w:multiLevelType w:val="hybridMultilevel"/>
    <w:tmpl w:val="D7187192"/>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A051B"/>
    <w:multiLevelType w:val="hybridMultilevel"/>
    <w:tmpl w:val="F42A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C5D5F"/>
    <w:multiLevelType w:val="hybridMultilevel"/>
    <w:tmpl w:val="B8529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C2653"/>
    <w:multiLevelType w:val="hybridMultilevel"/>
    <w:tmpl w:val="D7CE8FFE"/>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7441C"/>
    <w:multiLevelType w:val="hybridMultilevel"/>
    <w:tmpl w:val="3628FD30"/>
    <w:lvl w:ilvl="0" w:tplc="3656D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90A5A"/>
    <w:multiLevelType w:val="hybridMultilevel"/>
    <w:tmpl w:val="A5901220"/>
    <w:lvl w:ilvl="0" w:tplc="F3C21F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B4F9C"/>
    <w:multiLevelType w:val="hybridMultilevel"/>
    <w:tmpl w:val="98046FDC"/>
    <w:lvl w:ilvl="0" w:tplc="30629DB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93D72"/>
    <w:multiLevelType w:val="hybridMultilevel"/>
    <w:tmpl w:val="E5C8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E4186"/>
    <w:multiLevelType w:val="hybridMultilevel"/>
    <w:tmpl w:val="DFD4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B18C0"/>
    <w:multiLevelType w:val="hybridMultilevel"/>
    <w:tmpl w:val="69880FF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294E38"/>
    <w:multiLevelType w:val="hybridMultilevel"/>
    <w:tmpl w:val="E736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C7EE3"/>
    <w:multiLevelType w:val="hybridMultilevel"/>
    <w:tmpl w:val="4850A19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37960"/>
    <w:multiLevelType w:val="hybridMultilevel"/>
    <w:tmpl w:val="2F7C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A6394"/>
    <w:multiLevelType w:val="hybridMultilevel"/>
    <w:tmpl w:val="E702F17A"/>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02C1C"/>
    <w:multiLevelType w:val="hybridMultilevel"/>
    <w:tmpl w:val="AB4E4C0E"/>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36FE0"/>
    <w:multiLevelType w:val="hybridMultilevel"/>
    <w:tmpl w:val="4E1CF130"/>
    <w:lvl w:ilvl="0" w:tplc="D076E27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D72BD"/>
    <w:multiLevelType w:val="hybridMultilevel"/>
    <w:tmpl w:val="460811E2"/>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53811"/>
    <w:multiLevelType w:val="hybridMultilevel"/>
    <w:tmpl w:val="6C543A5A"/>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60EEF"/>
    <w:multiLevelType w:val="hybridMultilevel"/>
    <w:tmpl w:val="19F67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E2C68"/>
    <w:multiLevelType w:val="hybridMultilevel"/>
    <w:tmpl w:val="8C96BC3A"/>
    <w:lvl w:ilvl="0" w:tplc="B0A406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72C6B"/>
    <w:multiLevelType w:val="hybridMultilevel"/>
    <w:tmpl w:val="6F72E754"/>
    <w:lvl w:ilvl="0" w:tplc="C4A8154C">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426DB"/>
    <w:multiLevelType w:val="hybridMultilevel"/>
    <w:tmpl w:val="AAD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7"/>
  </w:num>
  <w:num w:numId="4">
    <w:abstractNumId w:val="9"/>
  </w:num>
  <w:num w:numId="5">
    <w:abstractNumId w:val="22"/>
  </w:num>
  <w:num w:numId="6">
    <w:abstractNumId w:val="11"/>
  </w:num>
  <w:num w:numId="7">
    <w:abstractNumId w:val="18"/>
  </w:num>
  <w:num w:numId="8">
    <w:abstractNumId w:val="21"/>
  </w:num>
  <w:num w:numId="9">
    <w:abstractNumId w:val="2"/>
  </w:num>
  <w:num w:numId="10">
    <w:abstractNumId w:val="15"/>
  </w:num>
  <w:num w:numId="11">
    <w:abstractNumId w:val="8"/>
  </w:num>
  <w:num w:numId="12">
    <w:abstractNumId w:val="5"/>
  </w:num>
  <w:num w:numId="13">
    <w:abstractNumId w:val="16"/>
  </w:num>
  <w:num w:numId="14">
    <w:abstractNumId w:val="14"/>
  </w:num>
  <w:num w:numId="15">
    <w:abstractNumId w:val="3"/>
  </w:num>
  <w:num w:numId="16">
    <w:abstractNumId w:val="17"/>
  </w:num>
  <w:num w:numId="17">
    <w:abstractNumId w:val="20"/>
  </w:num>
  <w:num w:numId="18">
    <w:abstractNumId w:val="12"/>
  </w:num>
  <w:num w:numId="19">
    <w:abstractNumId w:val="0"/>
  </w:num>
  <w:num w:numId="20">
    <w:abstractNumId w:val="4"/>
  </w:num>
  <w:num w:numId="21">
    <w:abstractNumId w:val="19"/>
  </w:num>
  <w:num w:numId="22">
    <w:abstractNumId w:val="6"/>
  </w:num>
  <w:num w:numId="2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3202"/>
    <w:rsid w:val="000366BF"/>
    <w:rsid w:val="000621C4"/>
    <w:rsid w:val="0009648F"/>
    <w:rsid w:val="000B74FB"/>
    <w:rsid w:val="000C4338"/>
    <w:rsid w:val="000C661C"/>
    <w:rsid w:val="00100792"/>
    <w:rsid w:val="00136D05"/>
    <w:rsid w:val="00137B3F"/>
    <w:rsid w:val="0014189B"/>
    <w:rsid w:val="001472D9"/>
    <w:rsid w:val="00150F5A"/>
    <w:rsid w:val="00156D1F"/>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D7C"/>
    <w:rsid w:val="00260500"/>
    <w:rsid w:val="00262BEF"/>
    <w:rsid w:val="00272D07"/>
    <w:rsid w:val="00290E43"/>
    <w:rsid w:val="002A5F68"/>
    <w:rsid w:val="002B08B9"/>
    <w:rsid w:val="002B32DB"/>
    <w:rsid w:val="002D6023"/>
    <w:rsid w:val="002D6154"/>
    <w:rsid w:val="002E3450"/>
    <w:rsid w:val="002F4B12"/>
    <w:rsid w:val="00332801"/>
    <w:rsid w:val="00341CC4"/>
    <w:rsid w:val="00344574"/>
    <w:rsid w:val="00350D83"/>
    <w:rsid w:val="003672FD"/>
    <w:rsid w:val="0038427A"/>
    <w:rsid w:val="003B76D6"/>
    <w:rsid w:val="003C0BD9"/>
    <w:rsid w:val="003F01EF"/>
    <w:rsid w:val="00410399"/>
    <w:rsid w:val="004267BD"/>
    <w:rsid w:val="004327EF"/>
    <w:rsid w:val="0046348B"/>
    <w:rsid w:val="00471EE3"/>
    <w:rsid w:val="004737F2"/>
    <w:rsid w:val="004878C0"/>
    <w:rsid w:val="004B3003"/>
    <w:rsid w:val="004D4495"/>
    <w:rsid w:val="00514CEC"/>
    <w:rsid w:val="00514F98"/>
    <w:rsid w:val="00517C4A"/>
    <w:rsid w:val="00545C21"/>
    <w:rsid w:val="005569CC"/>
    <w:rsid w:val="005637FE"/>
    <w:rsid w:val="005748BA"/>
    <w:rsid w:val="005800D3"/>
    <w:rsid w:val="00584C9E"/>
    <w:rsid w:val="00587614"/>
    <w:rsid w:val="0059631E"/>
    <w:rsid w:val="005A5739"/>
    <w:rsid w:val="005B0435"/>
    <w:rsid w:val="005C2B36"/>
    <w:rsid w:val="005C3D8D"/>
    <w:rsid w:val="005D229C"/>
    <w:rsid w:val="005E5F4E"/>
    <w:rsid w:val="005E608D"/>
    <w:rsid w:val="005F328F"/>
    <w:rsid w:val="0061717A"/>
    <w:rsid w:val="006374BE"/>
    <w:rsid w:val="00681E18"/>
    <w:rsid w:val="006926B0"/>
    <w:rsid w:val="006C6C0F"/>
    <w:rsid w:val="006D15B1"/>
    <w:rsid w:val="006F3EBD"/>
    <w:rsid w:val="00702225"/>
    <w:rsid w:val="00702D31"/>
    <w:rsid w:val="0070747E"/>
    <w:rsid w:val="00710A3A"/>
    <w:rsid w:val="00710C31"/>
    <w:rsid w:val="00710F84"/>
    <w:rsid w:val="00720C75"/>
    <w:rsid w:val="00732F42"/>
    <w:rsid w:val="00742229"/>
    <w:rsid w:val="00753695"/>
    <w:rsid w:val="0075640E"/>
    <w:rsid w:val="0076651D"/>
    <w:rsid w:val="007679D5"/>
    <w:rsid w:val="00776F43"/>
    <w:rsid w:val="0078231A"/>
    <w:rsid w:val="007B6067"/>
    <w:rsid w:val="007C2851"/>
    <w:rsid w:val="007C7AB8"/>
    <w:rsid w:val="007D296E"/>
    <w:rsid w:val="007E2FF0"/>
    <w:rsid w:val="007F5435"/>
    <w:rsid w:val="008033B6"/>
    <w:rsid w:val="00830769"/>
    <w:rsid w:val="00843D4E"/>
    <w:rsid w:val="00843E4F"/>
    <w:rsid w:val="008504CC"/>
    <w:rsid w:val="008631BB"/>
    <w:rsid w:val="00894281"/>
    <w:rsid w:val="008B49EA"/>
    <w:rsid w:val="008C37EF"/>
    <w:rsid w:val="008D4B35"/>
    <w:rsid w:val="008D5EEE"/>
    <w:rsid w:val="008E0F42"/>
    <w:rsid w:val="008E4027"/>
    <w:rsid w:val="00903E41"/>
    <w:rsid w:val="009047B8"/>
    <w:rsid w:val="00907DFA"/>
    <w:rsid w:val="009143A5"/>
    <w:rsid w:val="00920549"/>
    <w:rsid w:val="00925119"/>
    <w:rsid w:val="00930437"/>
    <w:rsid w:val="00946C9E"/>
    <w:rsid w:val="00992F7A"/>
    <w:rsid w:val="009B36BF"/>
    <w:rsid w:val="009C29E7"/>
    <w:rsid w:val="009C6265"/>
    <w:rsid w:val="009C6326"/>
    <w:rsid w:val="009F5CE9"/>
    <w:rsid w:val="00A06F68"/>
    <w:rsid w:val="00A25468"/>
    <w:rsid w:val="00A3001E"/>
    <w:rsid w:val="00A33934"/>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D36EC"/>
    <w:rsid w:val="00BE365F"/>
    <w:rsid w:val="00BF0973"/>
    <w:rsid w:val="00C032AF"/>
    <w:rsid w:val="00C12D9A"/>
    <w:rsid w:val="00C1503A"/>
    <w:rsid w:val="00C1528C"/>
    <w:rsid w:val="00C20001"/>
    <w:rsid w:val="00C32816"/>
    <w:rsid w:val="00C803F7"/>
    <w:rsid w:val="00C83B82"/>
    <w:rsid w:val="00C87315"/>
    <w:rsid w:val="00CA2D95"/>
    <w:rsid w:val="00CC3C12"/>
    <w:rsid w:val="00CC59D3"/>
    <w:rsid w:val="00CE2790"/>
    <w:rsid w:val="00CE7E3F"/>
    <w:rsid w:val="00CF1D10"/>
    <w:rsid w:val="00CF2063"/>
    <w:rsid w:val="00D250DC"/>
    <w:rsid w:val="00D25802"/>
    <w:rsid w:val="00D30605"/>
    <w:rsid w:val="00D4329A"/>
    <w:rsid w:val="00D50EC9"/>
    <w:rsid w:val="00D756AA"/>
    <w:rsid w:val="00D913AE"/>
    <w:rsid w:val="00D97483"/>
    <w:rsid w:val="00DA2EF1"/>
    <w:rsid w:val="00DA6A32"/>
    <w:rsid w:val="00DC7DE5"/>
    <w:rsid w:val="00DD47E3"/>
    <w:rsid w:val="00DF0636"/>
    <w:rsid w:val="00E01CB9"/>
    <w:rsid w:val="00E1703A"/>
    <w:rsid w:val="00E20DB0"/>
    <w:rsid w:val="00E3199F"/>
    <w:rsid w:val="00E44971"/>
    <w:rsid w:val="00E80F14"/>
    <w:rsid w:val="00E81A4F"/>
    <w:rsid w:val="00EB0C60"/>
    <w:rsid w:val="00EC57DF"/>
    <w:rsid w:val="00ED20C1"/>
    <w:rsid w:val="00ED2687"/>
    <w:rsid w:val="00EE355E"/>
    <w:rsid w:val="00EE6A0E"/>
    <w:rsid w:val="00F0070C"/>
    <w:rsid w:val="00F03331"/>
    <w:rsid w:val="00F1384A"/>
    <w:rsid w:val="00F16EC2"/>
    <w:rsid w:val="00F27B33"/>
    <w:rsid w:val="00F32216"/>
    <w:rsid w:val="00F52511"/>
    <w:rsid w:val="00F655E5"/>
    <w:rsid w:val="00F726E4"/>
    <w:rsid w:val="00F73B6D"/>
    <w:rsid w:val="00F74569"/>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3" ma:contentTypeDescription="Create a new document." ma:contentTypeScope="" ma:versionID="fd7992e0317d7f7009397a3709e6d47f">
  <xsd:schema xmlns:xsd="http://www.w3.org/2001/XMLSchema" xmlns:xs="http://www.w3.org/2001/XMLSchema" xmlns:p="http://schemas.microsoft.com/office/2006/metadata/properties" xmlns:ns2="22ba167f-60e7-46bf-9bf4-2e615d32998b" targetNamespace="http://schemas.microsoft.com/office/2006/metadata/properties" ma:root="true" ma:fieldsID="118e05f5760c914daeae7b2216fa41ee"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A5C7-2FE9-4B62-BBA9-FC65CF07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B2291220-BFB2-42A4-A703-F1A407FDE44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2ba167f-60e7-46bf-9bf4-2e615d32998b"/>
    <ds:schemaRef ds:uri="http://www.w3.org/XML/1998/namespace"/>
  </ds:schemaRefs>
</ds:datastoreItem>
</file>

<file path=customXml/itemProps4.xml><?xml version="1.0" encoding="utf-8"?>
<ds:datastoreItem xmlns:ds="http://schemas.openxmlformats.org/officeDocument/2006/customXml" ds:itemID="{FB3047AB-7B4A-4BD6-A6F8-B7C985D1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cp:revision>
  <cp:lastPrinted>2016-06-08T20:41:00Z</cp:lastPrinted>
  <dcterms:created xsi:type="dcterms:W3CDTF">2017-07-10T21:01:00Z</dcterms:created>
  <dcterms:modified xsi:type="dcterms:W3CDTF">2017-07-10T22:02:00Z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